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72" w:rsidRDefault="00951B72" w:rsidP="008A32AA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1B72">
        <w:rPr>
          <w:rFonts w:ascii="Arial" w:hAnsi="Arial" w:cs="Arial"/>
          <w:b/>
          <w:bCs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1451610</wp:posOffset>
            </wp:positionH>
            <wp:positionV relativeFrom="paragraph">
              <wp:posOffset>-676275</wp:posOffset>
            </wp:positionV>
            <wp:extent cx="1590675" cy="533400"/>
            <wp:effectExtent l="19050" t="0" r="9525" b="0"/>
            <wp:wrapSquare wrapText="bothSides"/>
            <wp:docPr id="1" name="Picture 2" descr="Small Madibeng 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Madibeng L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3EA" w:rsidRPr="00FF0A11" w:rsidRDefault="00771EBB" w:rsidP="008A32AA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PUBLICATION OF </w:t>
      </w:r>
      <w:r w:rsidR="00951B72">
        <w:rPr>
          <w:rFonts w:ascii="Arial" w:hAnsi="Arial" w:cs="Arial"/>
          <w:b/>
          <w:bCs/>
        </w:rPr>
        <w:t>DRAFT</w:t>
      </w:r>
      <w:r>
        <w:rPr>
          <w:rFonts w:ascii="Arial" w:hAnsi="Arial" w:cs="Arial"/>
          <w:b/>
          <w:bCs/>
        </w:rPr>
        <w:t xml:space="preserve"> ANNUAL </w:t>
      </w:r>
      <w:r w:rsidR="00BB21DE" w:rsidRPr="00FF0A11">
        <w:rPr>
          <w:rFonts w:ascii="Arial" w:hAnsi="Arial" w:cs="Arial"/>
          <w:b/>
          <w:bCs/>
        </w:rPr>
        <w:t xml:space="preserve">BUDGET </w:t>
      </w:r>
    </w:p>
    <w:p w:rsidR="0016734C" w:rsidRPr="00FF0A11" w:rsidRDefault="0016734C" w:rsidP="008A32AA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31678" w:rsidRDefault="00FF0A11" w:rsidP="00E2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0A11">
        <w:rPr>
          <w:rFonts w:ascii="Arial" w:hAnsi="Arial" w:cs="Arial"/>
        </w:rPr>
        <w:t>The</w:t>
      </w:r>
      <w:r w:rsidR="00771EBB">
        <w:rPr>
          <w:rFonts w:ascii="Arial" w:hAnsi="Arial" w:cs="Arial"/>
        </w:rPr>
        <w:t xml:space="preserve"> </w:t>
      </w:r>
      <w:r w:rsidR="00AA5F30">
        <w:rPr>
          <w:rFonts w:ascii="Arial" w:hAnsi="Arial" w:cs="Arial"/>
        </w:rPr>
        <w:t xml:space="preserve">Acting </w:t>
      </w:r>
      <w:r w:rsidR="00771EBB">
        <w:rPr>
          <w:rFonts w:ascii="Arial" w:hAnsi="Arial" w:cs="Arial"/>
        </w:rPr>
        <w:t xml:space="preserve">Municipal Manager of Madibeng </w:t>
      </w:r>
      <w:r w:rsidR="008F53EA" w:rsidRPr="00FF0A11">
        <w:rPr>
          <w:rFonts w:ascii="Arial" w:hAnsi="Arial" w:cs="Arial"/>
        </w:rPr>
        <w:t>Local</w:t>
      </w:r>
      <w:r w:rsidR="00771EBB">
        <w:rPr>
          <w:rFonts w:ascii="Arial" w:hAnsi="Arial" w:cs="Arial"/>
        </w:rPr>
        <w:t xml:space="preserve"> Municipality</w:t>
      </w:r>
      <w:r w:rsidR="008F53EA" w:rsidRPr="00FF0A11">
        <w:rPr>
          <w:rFonts w:ascii="Arial" w:hAnsi="Arial" w:cs="Arial"/>
        </w:rPr>
        <w:t xml:space="preserve"> </w:t>
      </w:r>
      <w:r w:rsidRPr="00FF0A11">
        <w:rPr>
          <w:rFonts w:ascii="Arial" w:hAnsi="Arial" w:cs="Arial"/>
        </w:rPr>
        <w:t xml:space="preserve">herby </w:t>
      </w:r>
      <w:r w:rsidR="008F53EA" w:rsidRPr="00FF0A11">
        <w:rPr>
          <w:rFonts w:ascii="Arial" w:hAnsi="Arial" w:cs="Arial"/>
        </w:rPr>
        <w:t>p</w:t>
      </w:r>
      <w:r w:rsidR="009D7E7E">
        <w:rPr>
          <w:rFonts w:ascii="Arial" w:hAnsi="Arial" w:cs="Arial"/>
        </w:rPr>
        <w:t>ublish 2016</w:t>
      </w:r>
      <w:r w:rsidR="00856C38">
        <w:rPr>
          <w:rFonts w:ascii="Arial" w:hAnsi="Arial" w:cs="Arial"/>
        </w:rPr>
        <w:t>/201</w:t>
      </w:r>
      <w:r w:rsidR="009D7E7E">
        <w:rPr>
          <w:rFonts w:ascii="Arial" w:hAnsi="Arial" w:cs="Arial"/>
        </w:rPr>
        <w:t>7</w:t>
      </w:r>
      <w:r w:rsidR="00771EBB">
        <w:rPr>
          <w:rFonts w:ascii="Arial" w:hAnsi="Arial" w:cs="Arial"/>
        </w:rPr>
        <w:t xml:space="preserve"> </w:t>
      </w:r>
      <w:r w:rsidR="00856C38">
        <w:rPr>
          <w:rFonts w:ascii="Arial" w:hAnsi="Arial" w:cs="Arial"/>
        </w:rPr>
        <w:t>tabled</w:t>
      </w:r>
      <w:r w:rsidR="00771EBB">
        <w:rPr>
          <w:rFonts w:ascii="Arial" w:hAnsi="Arial" w:cs="Arial"/>
        </w:rPr>
        <w:t xml:space="preserve"> </w:t>
      </w:r>
      <w:r w:rsidR="00856C38">
        <w:rPr>
          <w:rFonts w:ascii="Arial" w:hAnsi="Arial" w:cs="Arial"/>
        </w:rPr>
        <w:t>Draft</w:t>
      </w:r>
      <w:r w:rsidR="00771EBB">
        <w:rPr>
          <w:rFonts w:ascii="Arial" w:hAnsi="Arial" w:cs="Arial"/>
        </w:rPr>
        <w:t xml:space="preserve"> Budget of the municipality,  in accordance with section</w:t>
      </w:r>
      <w:r w:rsidR="002D6A11">
        <w:rPr>
          <w:rFonts w:ascii="Arial" w:hAnsi="Arial" w:cs="Arial"/>
        </w:rPr>
        <w:t xml:space="preserve"> 75(1)(a)(b) of Local Government: Municipal Finance Management Act 56 of 2003 and section 21(a)</w:t>
      </w:r>
      <w:r w:rsidR="009C57F9">
        <w:rPr>
          <w:rFonts w:ascii="Arial" w:hAnsi="Arial" w:cs="Arial"/>
        </w:rPr>
        <w:t xml:space="preserve"> of the Local Government: </w:t>
      </w:r>
      <w:r w:rsidR="00771EBB">
        <w:rPr>
          <w:rFonts w:ascii="Arial" w:hAnsi="Arial" w:cs="Arial"/>
        </w:rPr>
        <w:t>Municipal Systems</w:t>
      </w:r>
      <w:r w:rsidR="00931678">
        <w:rPr>
          <w:rFonts w:ascii="Arial" w:hAnsi="Arial" w:cs="Arial"/>
        </w:rPr>
        <w:t xml:space="preserve"> </w:t>
      </w:r>
      <w:r w:rsidR="00771EBB">
        <w:rPr>
          <w:rFonts w:ascii="Arial" w:hAnsi="Arial" w:cs="Arial"/>
        </w:rPr>
        <w:t>Act</w:t>
      </w:r>
      <w:r w:rsidR="009C57F9">
        <w:rPr>
          <w:rFonts w:ascii="Arial" w:hAnsi="Arial" w:cs="Arial"/>
        </w:rPr>
        <w:t xml:space="preserve"> 32 of 2000</w:t>
      </w:r>
      <w:r w:rsidR="00771EBB">
        <w:rPr>
          <w:rFonts w:ascii="Arial" w:hAnsi="Arial" w:cs="Arial"/>
        </w:rPr>
        <w:t xml:space="preserve">. </w:t>
      </w:r>
      <w:r w:rsidR="008F53EA" w:rsidRPr="00FF0A11">
        <w:rPr>
          <w:rFonts w:ascii="Arial" w:hAnsi="Arial" w:cs="Arial"/>
        </w:rPr>
        <w:t xml:space="preserve"> This budget was tabled in compliance with the National</w:t>
      </w:r>
      <w:r w:rsidRPr="00FF0A11">
        <w:rPr>
          <w:rFonts w:ascii="Arial" w:hAnsi="Arial" w:cs="Arial"/>
        </w:rPr>
        <w:t xml:space="preserve"> </w:t>
      </w:r>
      <w:r w:rsidR="008F53EA" w:rsidRPr="00FF0A11">
        <w:rPr>
          <w:rFonts w:ascii="Arial" w:hAnsi="Arial" w:cs="Arial"/>
        </w:rPr>
        <w:t>Treasury Circular</w:t>
      </w:r>
      <w:r w:rsidR="008A32AA" w:rsidRPr="00FF0A11">
        <w:rPr>
          <w:rFonts w:ascii="Arial" w:hAnsi="Arial" w:cs="Arial"/>
        </w:rPr>
        <w:t xml:space="preserve"> </w:t>
      </w:r>
      <w:r w:rsidR="009D7E7E">
        <w:rPr>
          <w:rFonts w:ascii="Arial" w:hAnsi="Arial" w:cs="Arial"/>
        </w:rPr>
        <w:t>no. 78 and 79</w:t>
      </w:r>
      <w:r w:rsidR="008F53EA" w:rsidRPr="00FF0A11">
        <w:rPr>
          <w:rFonts w:ascii="Arial" w:hAnsi="Arial" w:cs="Arial"/>
        </w:rPr>
        <w:t xml:space="preserve"> and was adopted</w:t>
      </w:r>
      <w:r w:rsidR="009D7E7E">
        <w:rPr>
          <w:rFonts w:ascii="Arial" w:hAnsi="Arial" w:cs="Arial"/>
        </w:rPr>
        <w:t xml:space="preserve"> by Council </w:t>
      </w:r>
      <w:proofErr w:type="gramStart"/>
      <w:r w:rsidR="009D7E7E">
        <w:rPr>
          <w:rFonts w:ascii="Arial" w:hAnsi="Arial" w:cs="Arial"/>
        </w:rPr>
        <w:t>on  31</w:t>
      </w:r>
      <w:proofErr w:type="gramEnd"/>
      <w:r w:rsidR="00856C38">
        <w:rPr>
          <w:rFonts w:ascii="Arial" w:hAnsi="Arial" w:cs="Arial"/>
        </w:rPr>
        <w:t xml:space="preserve"> March</w:t>
      </w:r>
      <w:r w:rsidRPr="00FF0A11">
        <w:rPr>
          <w:rFonts w:ascii="Arial" w:hAnsi="Arial" w:cs="Arial"/>
        </w:rPr>
        <w:t xml:space="preserve"> </w:t>
      </w:r>
      <w:r w:rsidR="00EC3104" w:rsidRPr="00FF0A11">
        <w:rPr>
          <w:rFonts w:ascii="Arial" w:hAnsi="Arial" w:cs="Arial"/>
        </w:rPr>
        <w:t>201</w:t>
      </w:r>
      <w:r w:rsidR="009D7E7E">
        <w:rPr>
          <w:rFonts w:ascii="Arial" w:hAnsi="Arial" w:cs="Arial"/>
        </w:rPr>
        <w:t>6</w:t>
      </w:r>
      <w:r w:rsidR="008F53EA" w:rsidRPr="00FF0A11">
        <w:rPr>
          <w:rFonts w:ascii="Arial" w:hAnsi="Arial" w:cs="Arial"/>
        </w:rPr>
        <w:t>.</w:t>
      </w:r>
      <w:r w:rsidR="00B84077" w:rsidRPr="00FF0A11">
        <w:rPr>
          <w:rFonts w:ascii="Arial" w:hAnsi="Arial" w:cs="Arial"/>
        </w:rPr>
        <w:t xml:space="preserve"> </w:t>
      </w:r>
      <w:r w:rsidRPr="00FF0A11">
        <w:rPr>
          <w:rFonts w:ascii="Arial" w:hAnsi="Arial" w:cs="Arial"/>
        </w:rPr>
        <w:t>Copies of the</w:t>
      </w:r>
      <w:r w:rsidR="008F53EA" w:rsidRPr="00FF0A11">
        <w:rPr>
          <w:rFonts w:ascii="Arial" w:hAnsi="Arial" w:cs="Arial"/>
        </w:rPr>
        <w:t xml:space="preserve"> </w:t>
      </w:r>
      <w:r w:rsidR="00AA5F30">
        <w:rPr>
          <w:rFonts w:ascii="Arial" w:hAnsi="Arial" w:cs="Arial"/>
        </w:rPr>
        <w:t xml:space="preserve">Draft </w:t>
      </w:r>
      <w:r w:rsidR="008F53EA" w:rsidRPr="00FF0A11">
        <w:rPr>
          <w:rFonts w:ascii="Arial" w:hAnsi="Arial" w:cs="Arial"/>
        </w:rPr>
        <w:t>Budget</w:t>
      </w:r>
      <w:r w:rsidR="00771EBB">
        <w:rPr>
          <w:rFonts w:ascii="Arial" w:hAnsi="Arial" w:cs="Arial"/>
        </w:rPr>
        <w:t xml:space="preserve"> and supporting documentation</w:t>
      </w:r>
      <w:r w:rsidR="008F53EA" w:rsidRPr="00FF0A11">
        <w:rPr>
          <w:rFonts w:ascii="Arial" w:hAnsi="Arial" w:cs="Arial"/>
        </w:rPr>
        <w:t xml:space="preserve"> </w:t>
      </w:r>
      <w:r w:rsidR="00EC3104" w:rsidRPr="00FF0A11">
        <w:rPr>
          <w:rFonts w:ascii="Arial" w:hAnsi="Arial" w:cs="Arial"/>
        </w:rPr>
        <w:t>will be</w:t>
      </w:r>
      <w:r w:rsidR="00771EBB">
        <w:rPr>
          <w:rFonts w:ascii="Arial" w:hAnsi="Arial" w:cs="Arial"/>
        </w:rPr>
        <w:t xml:space="preserve"> available</w:t>
      </w:r>
      <w:r w:rsidR="008F53EA" w:rsidRPr="00FF0A11">
        <w:rPr>
          <w:rFonts w:ascii="Arial" w:hAnsi="Arial" w:cs="Arial"/>
        </w:rPr>
        <w:t xml:space="preserve"> at all the Municipal</w:t>
      </w:r>
      <w:r w:rsidRPr="00FF0A11">
        <w:rPr>
          <w:rFonts w:ascii="Arial" w:hAnsi="Arial" w:cs="Arial"/>
        </w:rPr>
        <w:t xml:space="preserve"> </w:t>
      </w:r>
      <w:r w:rsidR="008F53EA" w:rsidRPr="00FF0A11">
        <w:rPr>
          <w:rFonts w:ascii="Arial" w:hAnsi="Arial" w:cs="Arial"/>
        </w:rPr>
        <w:t>offices</w:t>
      </w:r>
      <w:r w:rsidR="001B423C">
        <w:rPr>
          <w:rFonts w:ascii="Arial" w:hAnsi="Arial" w:cs="Arial"/>
        </w:rPr>
        <w:t xml:space="preserve"> and municipal website</w:t>
      </w:r>
      <w:r w:rsidR="00771EBB">
        <w:rPr>
          <w:rFonts w:ascii="Arial" w:hAnsi="Arial" w:cs="Arial"/>
        </w:rPr>
        <w:t xml:space="preserve"> </w:t>
      </w:r>
      <w:r w:rsidR="001B423C">
        <w:rPr>
          <w:rFonts w:ascii="Arial" w:hAnsi="Arial" w:cs="Arial"/>
        </w:rPr>
        <w:t>(</w:t>
      </w:r>
      <w:r w:rsidR="001B423C" w:rsidRPr="001B423C">
        <w:rPr>
          <w:rFonts w:ascii="Arial" w:hAnsi="Arial" w:cs="Arial"/>
          <w:u w:val="single"/>
        </w:rPr>
        <w:t>www.madibeng.gov.za</w:t>
      </w:r>
      <w:r w:rsidR="001B423C">
        <w:rPr>
          <w:rFonts w:ascii="Arial" w:hAnsi="Arial" w:cs="Arial"/>
        </w:rPr>
        <w:t>)</w:t>
      </w:r>
      <w:r w:rsidR="008F53EA" w:rsidRPr="00FF0A11">
        <w:rPr>
          <w:rFonts w:ascii="Arial" w:hAnsi="Arial" w:cs="Arial"/>
        </w:rPr>
        <w:t>. Alternatively, the budget office can be contacted</w:t>
      </w:r>
      <w:r w:rsidR="00B84077" w:rsidRPr="00FF0A11">
        <w:rPr>
          <w:rFonts w:ascii="Arial" w:hAnsi="Arial" w:cs="Arial"/>
        </w:rPr>
        <w:t xml:space="preserve"> </w:t>
      </w:r>
      <w:r w:rsidR="00771EBB">
        <w:rPr>
          <w:rFonts w:ascii="Arial" w:hAnsi="Arial" w:cs="Arial"/>
        </w:rPr>
        <w:t xml:space="preserve">for assistance at </w:t>
      </w:r>
      <w:r w:rsidR="006D58FE" w:rsidRPr="00FF0A11">
        <w:rPr>
          <w:rFonts w:ascii="Arial" w:hAnsi="Arial" w:cs="Arial"/>
        </w:rPr>
        <w:t>(012) 318</w:t>
      </w:r>
      <w:r w:rsidR="008F53EA" w:rsidRPr="00FF0A11">
        <w:rPr>
          <w:rFonts w:ascii="Arial" w:hAnsi="Arial" w:cs="Arial"/>
        </w:rPr>
        <w:t xml:space="preserve"> </w:t>
      </w:r>
      <w:r w:rsidR="009D7E7E">
        <w:rPr>
          <w:rFonts w:ascii="Arial" w:hAnsi="Arial" w:cs="Arial"/>
        </w:rPr>
        <w:t>9225</w:t>
      </w:r>
      <w:r w:rsidR="006D58FE" w:rsidRPr="00FF0A11">
        <w:rPr>
          <w:rFonts w:ascii="Arial" w:hAnsi="Arial" w:cs="Arial"/>
        </w:rPr>
        <w:t>/9228</w:t>
      </w:r>
      <w:r w:rsidR="00D91F67">
        <w:rPr>
          <w:rFonts w:ascii="Arial" w:hAnsi="Arial" w:cs="Arial"/>
        </w:rPr>
        <w:t xml:space="preserve"> or </w:t>
      </w:r>
      <w:hyperlink r:id="rId8" w:history="1">
        <w:r w:rsidR="00D91F67" w:rsidRPr="00B03D99">
          <w:rPr>
            <w:rStyle w:val="Hyperlink"/>
            <w:rFonts w:ascii="Arial" w:hAnsi="Arial" w:cs="Arial"/>
          </w:rPr>
          <w:t>jamesmotaung@madibeng.gov.za</w:t>
        </w:r>
      </w:hyperlink>
      <w:r w:rsidRPr="00FF0A11">
        <w:rPr>
          <w:rFonts w:ascii="Arial" w:hAnsi="Arial" w:cs="Arial"/>
        </w:rPr>
        <w:t xml:space="preserve">. </w:t>
      </w:r>
    </w:p>
    <w:p w:rsidR="00931678" w:rsidRDefault="00931678" w:rsidP="00E2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423C" w:rsidRDefault="00FF0A11" w:rsidP="00E2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0A11">
        <w:rPr>
          <w:rFonts w:ascii="Arial" w:hAnsi="Arial" w:cs="Arial"/>
        </w:rPr>
        <w:t>Council has adopted</w:t>
      </w:r>
      <w:r w:rsidR="008A32AA" w:rsidRPr="00FF0A11">
        <w:rPr>
          <w:rFonts w:ascii="Arial" w:hAnsi="Arial" w:cs="Arial"/>
        </w:rPr>
        <w:t xml:space="preserve"> the following </w:t>
      </w:r>
      <w:r w:rsidR="00856C38">
        <w:rPr>
          <w:rFonts w:ascii="Arial" w:hAnsi="Arial" w:cs="Arial"/>
        </w:rPr>
        <w:t xml:space="preserve">draft </w:t>
      </w:r>
      <w:r w:rsidRPr="00FF0A11">
        <w:rPr>
          <w:rFonts w:ascii="Arial" w:hAnsi="Arial" w:cs="Arial"/>
        </w:rPr>
        <w:t xml:space="preserve">budget related </w:t>
      </w:r>
      <w:r w:rsidR="008A32AA" w:rsidRPr="00FF0A11">
        <w:rPr>
          <w:rFonts w:ascii="Arial" w:hAnsi="Arial" w:cs="Arial"/>
        </w:rPr>
        <w:t>policies</w:t>
      </w:r>
      <w:r w:rsidR="00E27B69" w:rsidRPr="00FF0A11">
        <w:rPr>
          <w:rFonts w:ascii="Arial" w:hAnsi="Arial" w:cs="Arial"/>
        </w:rPr>
        <w:t xml:space="preserve"> </w:t>
      </w:r>
      <w:r w:rsidRPr="00FF0A11">
        <w:rPr>
          <w:rFonts w:ascii="Arial" w:hAnsi="Arial" w:cs="Arial"/>
        </w:rPr>
        <w:t xml:space="preserve">for implementation </w:t>
      </w:r>
      <w:r w:rsidR="009D7E7E">
        <w:rPr>
          <w:rFonts w:ascii="Arial" w:hAnsi="Arial" w:cs="Arial"/>
        </w:rPr>
        <w:t>as from 01 July 2016</w:t>
      </w:r>
      <w:r w:rsidR="008A32AA" w:rsidRPr="00FF0A11">
        <w:rPr>
          <w:rFonts w:ascii="Arial" w:hAnsi="Arial" w:cs="Arial"/>
        </w:rPr>
        <w:t>:</w:t>
      </w:r>
    </w:p>
    <w:p w:rsidR="009C57F9" w:rsidRPr="00FF0A11" w:rsidRDefault="009C57F9" w:rsidP="00E2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7B69" w:rsidRPr="00FF0A11" w:rsidRDefault="00E27B69" w:rsidP="00E27B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0A11">
        <w:rPr>
          <w:rFonts w:ascii="Arial" w:hAnsi="Arial" w:cs="Arial"/>
        </w:rPr>
        <w:t xml:space="preserve">Budget &amp; </w:t>
      </w:r>
      <w:r w:rsidRPr="00FF0A11">
        <w:rPr>
          <w:rFonts w:ascii="Arial" w:hAnsi="Arial" w:cs="Arial"/>
          <w:color w:val="000000"/>
        </w:rPr>
        <w:t>Virement Policy</w:t>
      </w:r>
      <w:r w:rsidRPr="00FF0A11">
        <w:rPr>
          <w:rFonts w:ascii="Arial" w:hAnsi="Arial" w:cs="Arial"/>
        </w:rPr>
        <w:t xml:space="preserve"> </w:t>
      </w:r>
    </w:p>
    <w:p w:rsidR="00E27B69" w:rsidRPr="00FF0A11" w:rsidRDefault="00E27B69" w:rsidP="00E27B69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FF0A11">
        <w:rPr>
          <w:rFonts w:cs="Arial"/>
          <w:sz w:val="22"/>
          <w:szCs w:val="22"/>
        </w:rPr>
        <w:t>Property Rates Policy &amp; Bylaw</w:t>
      </w:r>
    </w:p>
    <w:p w:rsidR="00E27B69" w:rsidRDefault="00E27B69" w:rsidP="00E27B69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FF0A11">
        <w:rPr>
          <w:rFonts w:cs="Arial"/>
          <w:sz w:val="22"/>
          <w:szCs w:val="22"/>
        </w:rPr>
        <w:t>Tariff Setting Policy</w:t>
      </w:r>
    </w:p>
    <w:p w:rsidR="009D7E7E" w:rsidRDefault="009D7E7E" w:rsidP="00E27B69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Tariff by law</w:t>
      </w:r>
    </w:p>
    <w:p w:rsidR="00B61C3A" w:rsidRPr="00FF0A11" w:rsidRDefault="00B61C3A" w:rsidP="00E27B69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Consumer Care policy</w:t>
      </w:r>
    </w:p>
    <w:p w:rsidR="00E27B69" w:rsidRPr="00FF0A11" w:rsidRDefault="009D7E7E" w:rsidP="00E27B69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Deposit Policy</w:t>
      </w:r>
    </w:p>
    <w:p w:rsidR="00E27B69" w:rsidRPr="00FF0A11" w:rsidRDefault="00E27B69" w:rsidP="00E27B69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FF0A11">
        <w:rPr>
          <w:rFonts w:cs="Arial"/>
          <w:sz w:val="22"/>
          <w:szCs w:val="22"/>
        </w:rPr>
        <w:t>Cash Management and Investment Policy</w:t>
      </w:r>
    </w:p>
    <w:p w:rsidR="00E27B69" w:rsidRPr="00FF0A11" w:rsidRDefault="00E27B69" w:rsidP="00E27B69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FF0A11">
        <w:rPr>
          <w:rFonts w:cs="Arial"/>
          <w:sz w:val="22"/>
          <w:szCs w:val="22"/>
        </w:rPr>
        <w:t>Indigent Household Subsidy Policy</w:t>
      </w:r>
    </w:p>
    <w:p w:rsidR="00E27B69" w:rsidRPr="00FF0A11" w:rsidRDefault="00E27B69" w:rsidP="00E27B69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FF0A11">
        <w:rPr>
          <w:rFonts w:cs="Arial"/>
          <w:sz w:val="22"/>
          <w:szCs w:val="22"/>
        </w:rPr>
        <w:t>Credit Control and Debt Collection Policy &amp; Bylaw</w:t>
      </w:r>
    </w:p>
    <w:p w:rsidR="00E27B69" w:rsidRPr="009C57F9" w:rsidRDefault="00E27B69" w:rsidP="008A32AA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FF0A11">
        <w:rPr>
          <w:rFonts w:cs="Arial"/>
          <w:sz w:val="22"/>
          <w:szCs w:val="22"/>
        </w:rPr>
        <w:t>Bad Debt Write-off Policy</w:t>
      </w:r>
    </w:p>
    <w:p w:rsidR="009C57F9" w:rsidRPr="00FF0A11" w:rsidRDefault="009C57F9" w:rsidP="008A32AA">
      <w:pPr>
        <w:spacing w:after="0" w:line="240" w:lineRule="auto"/>
        <w:rPr>
          <w:rFonts w:ascii="Arial" w:hAnsi="Arial" w:cs="Arial"/>
          <w:b/>
        </w:rPr>
      </w:pPr>
    </w:p>
    <w:p w:rsidR="00A44133" w:rsidRDefault="008A32AA" w:rsidP="008A32AA">
      <w:pPr>
        <w:spacing w:after="0" w:line="240" w:lineRule="auto"/>
        <w:rPr>
          <w:rFonts w:ascii="Arial" w:hAnsi="Arial" w:cs="Arial"/>
          <w:b/>
        </w:rPr>
      </w:pPr>
      <w:r w:rsidRPr="00FF0A11">
        <w:rPr>
          <w:rFonts w:ascii="Arial" w:hAnsi="Arial" w:cs="Arial"/>
          <w:b/>
        </w:rPr>
        <w:t>TARIFFS</w:t>
      </w:r>
    </w:p>
    <w:p w:rsidR="00FF0A11" w:rsidRPr="00FF0A11" w:rsidRDefault="00FF0A11" w:rsidP="00FF0A11">
      <w:pPr>
        <w:spacing w:after="0" w:line="240" w:lineRule="auto"/>
        <w:rPr>
          <w:rFonts w:ascii="Arial" w:hAnsi="Arial" w:cs="Arial"/>
          <w:b/>
        </w:rPr>
      </w:pPr>
    </w:p>
    <w:p w:rsidR="00F0325C" w:rsidRDefault="00856C38" w:rsidP="00B84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 has proposed</w:t>
      </w:r>
      <w:r w:rsidR="008F53EA" w:rsidRPr="00FF0A11">
        <w:rPr>
          <w:rFonts w:ascii="Arial" w:hAnsi="Arial" w:cs="Arial"/>
        </w:rPr>
        <w:t xml:space="preserve"> the following </w:t>
      </w:r>
      <w:r w:rsidR="006D58FE" w:rsidRPr="00FF0A11">
        <w:rPr>
          <w:rFonts w:ascii="Arial" w:hAnsi="Arial" w:cs="Arial"/>
        </w:rPr>
        <w:t>tariff</w:t>
      </w:r>
      <w:r w:rsidR="008F53EA" w:rsidRPr="00FF0A11">
        <w:rPr>
          <w:rFonts w:ascii="Arial" w:hAnsi="Arial" w:cs="Arial"/>
        </w:rPr>
        <w:t xml:space="preserve"> increases to be implemente</w:t>
      </w:r>
      <w:r>
        <w:rPr>
          <w:rFonts w:ascii="Arial" w:hAnsi="Arial" w:cs="Arial"/>
        </w:rPr>
        <w:t>d with effect from 1st July 201</w:t>
      </w:r>
      <w:r w:rsidR="00B61C3A">
        <w:rPr>
          <w:rFonts w:ascii="Arial" w:hAnsi="Arial" w:cs="Arial"/>
        </w:rPr>
        <w:t>6</w:t>
      </w:r>
      <w:r w:rsidR="008F53EA" w:rsidRPr="00FF0A11">
        <w:rPr>
          <w:rFonts w:ascii="Arial" w:hAnsi="Arial" w:cs="Arial"/>
        </w:rPr>
        <w:t>:</w:t>
      </w:r>
    </w:p>
    <w:p w:rsidR="00B61C3A" w:rsidRDefault="00B61C3A" w:rsidP="00B84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X="198" w:tblpY="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850"/>
        <w:gridCol w:w="449"/>
        <w:gridCol w:w="1393"/>
        <w:gridCol w:w="1393"/>
        <w:gridCol w:w="1083"/>
        <w:gridCol w:w="1083"/>
        <w:gridCol w:w="1177"/>
      </w:tblGrid>
      <w:tr w:rsidR="00B61C3A" w:rsidRPr="00BC11BA" w:rsidTr="00B61C3A">
        <w:trPr>
          <w:trHeight w:val="181"/>
        </w:trPr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C3A" w:rsidRPr="00BC11BA" w:rsidRDefault="00B61C3A" w:rsidP="006C63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C3A" w:rsidRPr="00BC11BA" w:rsidRDefault="00B61C3A" w:rsidP="006C63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1C3A" w:rsidRPr="00BC11BA" w:rsidTr="00B61C3A">
        <w:trPr>
          <w:trHeight w:val="404"/>
        </w:trPr>
        <w:tc>
          <w:tcPr>
            <w:tcW w:w="1913" w:type="dxa"/>
            <w:vMerge w:val="restart"/>
            <w:tcBorders>
              <w:top w:val="single" w:sz="4" w:space="0" w:color="auto"/>
            </w:tcBorders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</w:tcBorders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sz w:val="20"/>
                <w:szCs w:val="20"/>
              </w:rPr>
              <w:t>Approved Previous Year</w:t>
            </w:r>
          </w:p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sz w:val="20"/>
                <w:szCs w:val="20"/>
              </w:rPr>
              <w:t>2013/14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sz w:val="20"/>
                <w:szCs w:val="20"/>
              </w:rPr>
              <w:t>Approved Previous Year</w:t>
            </w:r>
          </w:p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</w:t>
            </w:r>
            <w:r w:rsidRPr="00BC11BA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sz w:val="20"/>
                <w:szCs w:val="20"/>
              </w:rPr>
              <w:t>Current Year</w:t>
            </w:r>
          </w:p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C11BA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</w:tcBorders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sz w:val="20"/>
                <w:szCs w:val="20"/>
              </w:rPr>
              <w:t xml:space="preserve">MTREF </w:t>
            </w:r>
          </w:p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1C3A" w:rsidRPr="00BC11BA" w:rsidTr="00B61C3A">
        <w:trPr>
          <w:trHeight w:val="287"/>
        </w:trPr>
        <w:tc>
          <w:tcPr>
            <w:tcW w:w="1913" w:type="dxa"/>
            <w:vMerge/>
            <w:shd w:val="clear" w:color="auto" w:fill="D6E3BC"/>
          </w:tcPr>
          <w:p w:rsidR="00B61C3A" w:rsidRPr="00BC11BA" w:rsidRDefault="00B61C3A" w:rsidP="006C6390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shd w:val="clear" w:color="auto" w:fill="D6E3BC"/>
          </w:tcPr>
          <w:p w:rsidR="00B61C3A" w:rsidRPr="00BC11BA" w:rsidRDefault="00B61C3A" w:rsidP="006C6390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D6E3BC"/>
          </w:tcPr>
          <w:p w:rsidR="00B61C3A" w:rsidRPr="00BC11BA" w:rsidRDefault="00B61C3A" w:rsidP="006C6390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Budget Year 2016/17</w:t>
            </w:r>
          </w:p>
        </w:tc>
        <w:tc>
          <w:tcPr>
            <w:tcW w:w="1083" w:type="dxa"/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Year +1 </w:t>
            </w:r>
          </w:p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2017/18</w:t>
            </w:r>
          </w:p>
        </w:tc>
        <w:tc>
          <w:tcPr>
            <w:tcW w:w="1177" w:type="dxa"/>
            <w:shd w:val="clear" w:color="auto" w:fill="D6E3BC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11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Year +2 </w:t>
            </w:r>
          </w:p>
          <w:p w:rsidR="00B61C3A" w:rsidRPr="00BC11BA" w:rsidRDefault="00B61C3A" w:rsidP="006C63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2018/19</w:t>
            </w:r>
          </w:p>
        </w:tc>
      </w:tr>
      <w:tr w:rsidR="00B61C3A" w:rsidRPr="00BC11BA" w:rsidTr="00B61C3A">
        <w:trPr>
          <w:trHeight w:val="352"/>
        </w:trPr>
        <w:tc>
          <w:tcPr>
            <w:tcW w:w="1913" w:type="dxa"/>
          </w:tcPr>
          <w:p w:rsidR="00B61C3A" w:rsidRPr="00BC11BA" w:rsidRDefault="00B61C3A" w:rsidP="006C6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Property rates</w:t>
            </w:r>
          </w:p>
        </w:tc>
        <w:tc>
          <w:tcPr>
            <w:tcW w:w="1299" w:type="dxa"/>
            <w:gridSpan w:val="2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5.6%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5.4%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083" w:type="dxa"/>
          </w:tcPr>
          <w:p w:rsidR="00B61C3A" w:rsidRPr="00184495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9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083" w:type="dxa"/>
          </w:tcPr>
          <w:p w:rsidR="00B61C3A" w:rsidRPr="00184495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95">
              <w:rPr>
                <w:rFonts w:ascii="Arial" w:hAnsi="Arial" w:cs="Arial"/>
                <w:sz w:val="20"/>
                <w:szCs w:val="20"/>
              </w:rPr>
              <w:t>5.8%</w:t>
            </w:r>
          </w:p>
        </w:tc>
        <w:tc>
          <w:tcPr>
            <w:tcW w:w="1177" w:type="dxa"/>
          </w:tcPr>
          <w:p w:rsidR="00B61C3A" w:rsidRPr="00184495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95">
              <w:rPr>
                <w:rFonts w:ascii="Arial" w:hAnsi="Arial" w:cs="Arial"/>
                <w:sz w:val="20"/>
                <w:szCs w:val="20"/>
              </w:rPr>
              <w:t>5.8%</w:t>
            </w:r>
          </w:p>
        </w:tc>
      </w:tr>
      <w:tr w:rsidR="00B61C3A" w:rsidRPr="00BC11BA" w:rsidTr="00B61C3A">
        <w:trPr>
          <w:trHeight w:val="206"/>
        </w:trPr>
        <w:tc>
          <w:tcPr>
            <w:tcW w:w="1913" w:type="dxa"/>
          </w:tcPr>
          <w:p w:rsidR="00B61C3A" w:rsidRPr="00BC11BA" w:rsidRDefault="00B61C3A" w:rsidP="006C6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Electricity</w:t>
            </w:r>
          </w:p>
        </w:tc>
        <w:tc>
          <w:tcPr>
            <w:tcW w:w="1299" w:type="dxa"/>
            <w:gridSpan w:val="2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</w:t>
            </w:r>
            <w:r w:rsidRPr="00BC11B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7.86%</w:t>
            </w:r>
          </w:p>
        </w:tc>
        <w:tc>
          <w:tcPr>
            <w:tcW w:w="1083" w:type="dxa"/>
          </w:tcPr>
          <w:p w:rsidR="00B61C3A" w:rsidRDefault="00B61C3A" w:rsidP="006C6390">
            <w:pPr>
              <w:jc w:val="center"/>
            </w:pPr>
            <w:r w:rsidRPr="00D42941">
              <w:rPr>
                <w:rFonts w:ascii="Arial" w:hAnsi="Arial" w:cs="Arial"/>
                <w:sz w:val="20"/>
                <w:szCs w:val="20"/>
              </w:rPr>
              <w:t>7.86%</w:t>
            </w:r>
          </w:p>
        </w:tc>
        <w:tc>
          <w:tcPr>
            <w:tcW w:w="1177" w:type="dxa"/>
          </w:tcPr>
          <w:p w:rsidR="00B61C3A" w:rsidRDefault="00B61C3A" w:rsidP="006C6390">
            <w:pPr>
              <w:jc w:val="center"/>
            </w:pPr>
            <w:r w:rsidRPr="00D42941">
              <w:rPr>
                <w:rFonts w:ascii="Arial" w:hAnsi="Arial" w:cs="Arial"/>
                <w:sz w:val="20"/>
                <w:szCs w:val="20"/>
              </w:rPr>
              <w:t>7.86%</w:t>
            </w:r>
          </w:p>
        </w:tc>
      </w:tr>
      <w:tr w:rsidR="00B61C3A" w:rsidRPr="00BC11BA" w:rsidTr="00B61C3A">
        <w:trPr>
          <w:trHeight w:val="219"/>
        </w:trPr>
        <w:tc>
          <w:tcPr>
            <w:tcW w:w="1913" w:type="dxa"/>
          </w:tcPr>
          <w:p w:rsidR="00B61C3A" w:rsidRPr="00BC11BA" w:rsidRDefault="00B61C3A" w:rsidP="006C6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1299" w:type="dxa"/>
            <w:gridSpan w:val="2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18%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18%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108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  <w:tc>
          <w:tcPr>
            <w:tcW w:w="108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6.2%</w:t>
            </w:r>
          </w:p>
        </w:tc>
        <w:tc>
          <w:tcPr>
            <w:tcW w:w="1177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5.9%</w:t>
            </w:r>
          </w:p>
        </w:tc>
      </w:tr>
      <w:tr w:rsidR="00B61C3A" w:rsidRPr="00BC11BA" w:rsidTr="00B61C3A">
        <w:trPr>
          <w:trHeight w:val="206"/>
        </w:trPr>
        <w:tc>
          <w:tcPr>
            <w:tcW w:w="1913" w:type="dxa"/>
          </w:tcPr>
          <w:p w:rsidR="00B61C3A" w:rsidRPr="00BC11BA" w:rsidRDefault="00B61C3A" w:rsidP="006C6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Sewerage</w:t>
            </w:r>
          </w:p>
        </w:tc>
        <w:tc>
          <w:tcPr>
            <w:tcW w:w="1299" w:type="dxa"/>
            <w:gridSpan w:val="2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18%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18%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1083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  <w:tc>
          <w:tcPr>
            <w:tcW w:w="1083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6.2%</w:t>
            </w:r>
          </w:p>
        </w:tc>
        <w:tc>
          <w:tcPr>
            <w:tcW w:w="1177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5.9%</w:t>
            </w:r>
          </w:p>
        </w:tc>
      </w:tr>
      <w:tr w:rsidR="00B61C3A" w:rsidRPr="00BC11BA" w:rsidTr="00B61C3A">
        <w:trPr>
          <w:trHeight w:val="219"/>
        </w:trPr>
        <w:tc>
          <w:tcPr>
            <w:tcW w:w="1913" w:type="dxa"/>
          </w:tcPr>
          <w:p w:rsidR="00B61C3A" w:rsidRPr="00BC11BA" w:rsidRDefault="00B61C3A" w:rsidP="006C6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Refuse Removal</w:t>
            </w:r>
          </w:p>
        </w:tc>
        <w:tc>
          <w:tcPr>
            <w:tcW w:w="1299" w:type="dxa"/>
            <w:gridSpan w:val="2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5.6%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5.4%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4.8%</w:t>
            </w:r>
          </w:p>
        </w:tc>
        <w:tc>
          <w:tcPr>
            <w:tcW w:w="1083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  <w:tc>
          <w:tcPr>
            <w:tcW w:w="1083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6.2%</w:t>
            </w:r>
          </w:p>
        </w:tc>
        <w:tc>
          <w:tcPr>
            <w:tcW w:w="1177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5.9%</w:t>
            </w:r>
          </w:p>
        </w:tc>
      </w:tr>
      <w:tr w:rsidR="00B61C3A" w:rsidRPr="00BC11BA" w:rsidTr="00B61C3A">
        <w:trPr>
          <w:trHeight w:val="219"/>
        </w:trPr>
        <w:tc>
          <w:tcPr>
            <w:tcW w:w="1913" w:type="dxa"/>
          </w:tcPr>
          <w:p w:rsidR="00B61C3A" w:rsidRPr="00BC11BA" w:rsidRDefault="00B61C3A" w:rsidP="006C6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Surcharges</w:t>
            </w:r>
          </w:p>
        </w:tc>
        <w:tc>
          <w:tcPr>
            <w:tcW w:w="1299" w:type="dxa"/>
            <w:gridSpan w:val="2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5.6%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5.4%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4.8%</w:t>
            </w:r>
          </w:p>
        </w:tc>
        <w:tc>
          <w:tcPr>
            <w:tcW w:w="1083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  <w:tc>
          <w:tcPr>
            <w:tcW w:w="1083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6.2%</w:t>
            </w:r>
          </w:p>
        </w:tc>
        <w:tc>
          <w:tcPr>
            <w:tcW w:w="1177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5.9%</w:t>
            </w:r>
          </w:p>
        </w:tc>
      </w:tr>
      <w:tr w:rsidR="00B61C3A" w:rsidRPr="00BC11BA" w:rsidTr="00B61C3A">
        <w:trPr>
          <w:trHeight w:val="206"/>
        </w:trPr>
        <w:tc>
          <w:tcPr>
            <w:tcW w:w="1913" w:type="dxa"/>
          </w:tcPr>
          <w:p w:rsidR="00B61C3A" w:rsidRPr="00BC11BA" w:rsidRDefault="00B61C3A" w:rsidP="006C6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Other services</w:t>
            </w:r>
          </w:p>
        </w:tc>
        <w:tc>
          <w:tcPr>
            <w:tcW w:w="1299" w:type="dxa"/>
            <w:gridSpan w:val="2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5.6%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5.4%</w:t>
            </w:r>
          </w:p>
        </w:tc>
        <w:tc>
          <w:tcPr>
            <w:tcW w:w="1393" w:type="dxa"/>
          </w:tcPr>
          <w:p w:rsidR="00B61C3A" w:rsidRPr="00BC11BA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BA">
              <w:rPr>
                <w:rFonts w:ascii="Arial" w:hAnsi="Arial" w:cs="Arial"/>
                <w:sz w:val="20"/>
                <w:szCs w:val="20"/>
              </w:rPr>
              <w:t>4.8%</w:t>
            </w:r>
          </w:p>
        </w:tc>
        <w:tc>
          <w:tcPr>
            <w:tcW w:w="1083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  <w:tc>
          <w:tcPr>
            <w:tcW w:w="1083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6.2%</w:t>
            </w:r>
          </w:p>
        </w:tc>
        <w:tc>
          <w:tcPr>
            <w:tcW w:w="1177" w:type="dxa"/>
          </w:tcPr>
          <w:p w:rsidR="00B61C3A" w:rsidRPr="006B3C51" w:rsidRDefault="00B61C3A" w:rsidP="006C6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51">
              <w:rPr>
                <w:rFonts w:ascii="Arial" w:hAnsi="Arial" w:cs="Arial"/>
                <w:sz w:val="20"/>
                <w:szCs w:val="20"/>
              </w:rPr>
              <w:t>5.9%</w:t>
            </w:r>
          </w:p>
        </w:tc>
      </w:tr>
    </w:tbl>
    <w:p w:rsidR="004E5C26" w:rsidRDefault="004E5C26" w:rsidP="00B84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5C26">
        <w:rPr>
          <w:rFonts w:ascii="Arial" w:hAnsi="Arial" w:cs="Arial"/>
          <w:b/>
          <w:bCs/>
        </w:rPr>
        <w:t>Allocations from National and Provincial Government</w:t>
      </w:r>
    </w:p>
    <w:p w:rsidR="00B61C3A" w:rsidRDefault="00B61C3A" w:rsidP="00B84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1C3A" w:rsidRDefault="00CB5F3C" w:rsidP="00B84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B5F3C">
        <w:rPr>
          <w:rFonts w:ascii="Arial" w:hAnsi="Arial" w:cs="Arial"/>
          <w:b/>
          <w:bCs/>
        </w:rPr>
        <w:drawing>
          <wp:inline distT="0" distB="0" distL="0" distR="0">
            <wp:extent cx="6105525" cy="289560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23" cy="289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3A" w:rsidRDefault="00B61C3A" w:rsidP="00B84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1C3A" w:rsidRDefault="00B61C3A" w:rsidP="00B84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5C26" w:rsidRDefault="004E5C26" w:rsidP="00B84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54515" w:rsidRPr="004E5C26" w:rsidRDefault="00254515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E27B69" w:rsidRPr="004E5C26" w:rsidRDefault="004E5C26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 w:rsidRPr="004E5C26">
        <w:rPr>
          <w:rFonts w:ascii="Arial" w:eastAsia="Times New Roman" w:hAnsi="Arial" w:cs="Arial"/>
          <w:b/>
          <w:bCs/>
          <w:lang w:eastAsia="en-ZA"/>
        </w:rPr>
        <w:t>Revenue Projections</w:t>
      </w:r>
      <w:r w:rsidR="00DF5636">
        <w:rPr>
          <w:rFonts w:ascii="Arial" w:eastAsia="Times New Roman" w:hAnsi="Arial" w:cs="Arial"/>
          <w:b/>
          <w:bCs/>
          <w:lang w:eastAsia="en-ZA"/>
        </w:rPr>
        <w:t xml:space="preserve"> </w:t>
      </w:r>
      <w:r w:rsidR="00CB5F3C">
        <w:rPr>
          <w:rFonts w:ascii="Arial" w:eastAsia="Times New Roman" w:hAnsi="Arial" w:cs="Arial"/>
          <w:b/>
          <w:bCs/>
          <w:lang w:eastAsia="en-ZA"/>
        </w:rPr>
        <w:t>for 2016/2017</w:t>
      </w:r>
      <w:r w:rsidR="00DF5636" w:rsidRPr="00DF5636">
        <w:rPr>
          <w:rFonts w:ascii="Arial" w:eastAsia="Times New Roman" w:hAnsi="Arial" w:cs="Arial"/>
          <w:b/>
          <w:bCs/>
          <w:lang w:eastAsia="en-ZA"/>
        </w:rPr>
        <w:t xml:space="preserve"> Budget year</w:t>
      </w:r>
    </w:p>
    <w:p w:rsidR="00E27B69" w:rsidRDefault="00E27B69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A45A7F" w:rsidRDefault="00A45A7F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630D02" w:rsidRDefault="00C1286B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  <w:r w:rsidRPr="00C1286B"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  <w:drawing>
          <wp:inline distT="0" distB="0" distL="0" distR="0">
            <wp:extent cx="6210300" cy="311467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952" cy="311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30" w:rsidRDefault="00AA5F30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AA5F30" w:rsidRDefault="00AA5F30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AA5F30" w:rsidRDefault="00AA5F30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AA5F30" w:rsidRDefault="00AA5F30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AA5F30" w:rsidRDefault="00AA5F30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C1286B" w:rsidRDefault="00C1286B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AA5F30" w:rsidRDefault="00AA5F30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AA5F30" w:rsidRDefault="00AA5F30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AA5F30" w:rsidRDefault="00AA5F30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27B69" w:rsidRDefault="00DF5636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>
        <w:rPr>
          <w:rFonts w:ascii="Arial" w:eastAsia="Times New Roman" w:hAnsi="Arial" w:cs="Arial"/>
          <w:b/>
          <w:bCs/>
          <w:lang w:eastAsia="en-ZA"/>
        </w:rPr>
        <w:t>Chart to describe r</w:t>
      </w:r>
      <w:r w:rsidR="00CB5F3C">
        <w:rPr>
          <w:rFonts w:ascii="Arial" w:eastAsia="Times New Roman" w:hAnsi="Arial" w:cs="Arial"/>
          <w:b/>
          <w:bCs/>
          <w:lang w:eastAsia="en-ZA"/>
        </w:rPr>
        <w:t>evenue projections for 2016/2017</w:t>
      </w:r>
      <w:r w:rsidRPr="00DF5636">
        <w:rPr>
          <w:rFonts w:ascii="Arial" w:eastAsia="Times New Roman" w:hAnsi="Arial" w:cs="Arial"/>
          <w:b/>
          <w:bCs/>
          <w:lang w:eastAsia="en-ZA"/>
        </w:rPr>
        <w:t xml:space="preserve"> Budget year</w:t>
      </w:r>
    </w:p>
    <w:p w:rsidR="00652822" w:rsidRDefault="00652822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652822" w:rsidRDefault="00652822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0E7668" w:rsidRDefault="000E7668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CB5F3C" w:rsidRDefault="00C1286B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 w:rsidRPr="00C1286B">
        <w:rPr>
          <w:rFonts w:ascii="Arial" w:eastAsia="Times New Roman" w:hAnsi="Arial" w:cs="Arial"/>
          <w:b/>
          <w:bCs/>
          <w:lang w:eastAsia="en-ZA"/>
        </w:rPr>
        <w:drawing>
          <wp:inline distT="0" distB="0" distL="0" distR="0">
            <wp:extent cx="5724525" cy="365760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F3C" w:rsidRDefault="00CB5F3C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945EF3" w:rsidRDefault="00945EF3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945EF3" w:rsidRDefault="00945EF3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5D02C6" w:rsidRDefault="005D02C6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C1286B" w:rsidRDefault="00C1286B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AA5F30" w:rsidRDefault="00AA5F30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C7524C" w:rsidRDefault="00DF5636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 w:rsidRPr="00DF5636">
        <w:rPr>
          <w:rFonts w:ascii="Arial" w:eastAsia="Times New Roman" w:hAnsi="Arial" w:cs="Arial"/>
          <w:b/>
          <w:bCs/>
          <w:lang w:eastAsia="en-ZA"/>
        </w:rPr>
        <w:t>Expenditure Projections</w:t>
      </w:r>
      <w:r>
        <w:rPr>
          <w:rFonts w:ascii="Arial" w:eastAsia="Times New Roman" w:hAnsi="Arial" w:cs="Arial"/>
          <w:b/>
          <w:bCs/>
          <w:lang w:eastAsia="en-ZA"/>
        </w:rPr>
        <w:t xml:space="preserve"> </w:t>
      </w:r>
      <w:r w:rsidR="00C1286B">
        <w:rPr>
          <w:rFonts w:ascii="Arial" w:eastAsia="Times New Roman" w:hAnsi="Arial" w:cs="Arial"/>
          <w:b/>
          <w:bCs/>
          <w:lang w:eastAsia="en-ZA"/>
        </w:rPr>
        <w:t>for 2016/2017</w:t>
      </w:r>
      <w:r w:rsidRPr="00DF5636">
        <w:rPr>
          <w:rFonts w:ascii="Arial" w:eastAsia="Times New Roman" w:hAnsi="Arial" w:cs="Arial"/>
          <w:b/>
          <w:bCs/>
          <w:lang w:eastAsia="en-ZA"/>
        </w:rPr>
        <w:t xml:space="preserve"> Budget year</w:t>
      </w:r>
    </w:p>
    <w:p w:rsidR="00C1286B" w:rsidRDefault="00C1286B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C1286B" w:rsidRPr="005D02C6" w:rsidRDefault="00C1286B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 w:rsidRPr="00C1286B">
        <w:rPr>
          <w:rFonts w:ascii="Arial" w:eastAsia="Times New Roman" w:hAnsi="Arial" w:cs="Arial"/>
          <w:b/>
          <w:bCs/>
          <w:lang w:eastAsia="en-ZA"/>
        </w:rPr>
        <w:drawing>
          <wp:inline distT="0" distB="0" distL="0" distR="0">
            <wp:extent cx="5937092" cy="3108960"/>
            <wp:effectExtent l="19050" t="0" r="6508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1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36" w:rsidRDefault="00DF5636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945EF3" w:rsidRDefault="00945EF3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4E5C26" w:rsidRDefault="00B03D99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>
        <w:rPr>
          <w:rFonts w:ascii="Arial" w:eastAsia="Times New Roman" w:hAnsi="Arial" w:cs="Arial"/>
          <w:b/>
          <w:bCs/>
          <w:lang w:eastAsia="en-ZA"/>
        </w:rPr>
        <w:t>Chart to describe e</w:t>
      </w:r>
      <w:r w:rsidR="00DF5636" w:rsidRPr="00DF5636">
        <w:rPr>
          <w:rFonts w:ascii="Arial" w:eastAsia="Times New Roman" w:hAnsi="Arial" w:cs="Arial"/>
          <w:b/>
          <w:bCs/>
          <w:lang w:eastAsia="en-ZA"/>
        </w:rPr>
        <w:t xml:space="preserve">xpenditure </w:t>
      </w:r>
      <w:r>
        <w:rPr>
          <w:rFonts w:ascii="Arial" w:eastAsia="Times New Roman" w:hAnsi="Arial" w:cs="Arial"/>
          <w:b/>
          <w:bCs/>
          <w:lang w:eastAsia="en-ZA"/>
        </w:rPr>
        <w:t>p</w:t>
      </w:r>
      <w:r w:rsidR="00C1286B">
        <w:rPr>
          <w:rFonts w:ascii="Arial" w:eastAsia="Times New Roman" w:hAnsi="Arial" w:cs="Arial"/>
          <w:b/>
          <w:bCs/>
          <w:lang w:eastAsia="en-ZA"/>
        </w:rPr>
        <w:t>rojections for 2016/2017</w:t>
      </w:r>
      <w:r w:rsidR="00DF5636" w:rsidRPr="00DF5636">
        <w:rPr>
          <w:rFonts w:ascii="Arial" w:eastAsia="Times New Roman" w:hAnsi="Arial" w:cs="Arial"/>
          <w:b/>
          <w:bCs/>
          <w:lang w:eastAsia="en-ZA"/>
        </w:rPr>
        <w:t xml:space="preserve"> Budget year</w:t>
      </w:r>
    </w:p>
    <w:p w:rsidR="00B94281" w:rsidRDefault="00B94281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B94281" w:rsidRDefault="00C1286B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 w:rsidRPr="00C1286B">
        <w:rPr>
          <w:rFonts w:ascii="Arial" w:eastAsia="Times New Roman" w:hAnsi="Arial" w:cs="Arial"/>
          <w:b/>
          <w:bCs/>
          <w:lang w:eastAsia="en-ZA"/>
        </w:rPr>
        <w:drawing>
          <wp:inline distT="0" distB="0" distL="0" distR="0">
            <wp:extent cx="4889500" cy="2997201"/>
            <wp:effectExtent l="19050" t="0" r="2540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286B" w:rsidRDefault="00C1286B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B03D99" w:rsidRDefault="00B03D99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E76642" w:rsidRDefault="00E76642" w:rsidP="00254515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en-ZA"/>
        </w:rPr>
      </w:pPr>
    </w:p>
    <w:p w:rsidR="00B03D99" w:rsidRDefault="00B03D99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 w:rsidRPr="00567D62">
        <w:rPr>
          <w:rFonts w:ascii="Arial" w:eastAsia="Times New Roman" w:hAnsi="Arial" w:cs="Arial"/>
          <w:b/>
          <w:bCs/>
          <w:lang w:eastAsia="en-ZA"/>
        </w:rPr>
        <w:t>Capital Budget</w:t>
      </w:r>
    </w:p>
    <w:p w:rsidR="00FF789A" w:rsidRDefault="00FF789A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</w:p>
    <w:p w:rsidR="00FF789A" w:rsidRDefault="00C1286B" w:rsidP="00254515">
      <w:pPr>
        <w:spacing w:after="0" w:line="240" w:lineRule="auto"/>
        <w:rPr>
          <w:rFonts w:ascii="Arial" w:eastAsia="Times New Roman" w:hAnsi="Arial" w:cs="Arial"/>
          <w:b/>
          <w:bCs/>
          <w:lang w:eastAsia="en-ZA"/>
        </w:rPr>
      </w:pPr>
      <w:r w:rsidRPr="00C1286B">
        <w:rPr>
          <w:rFonts w:ascii="Arial" w:eastAsia="Times New Roman" w:hAnsi="Arial" w:cs="Arial"/>
          <w:b/>
          <w:bCs/>
          <w:lang w:eastAsia="en-ZA"/>
        </w:rPr>
        <w:drawing>
          <wp:inline distT="0" distB="0" distL="0" distR="0">
            <wp:extent cx="5936488" cy="7417613"/>
            <wp:effectExtent l="19050" t="0" r="7112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42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3EA" w:rsidRDefault="008F53EA" w:rsidP="00D91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F67" w:rsidRPr="00FD534E" w:rsidRDefault="001A1320" w:rsidP="00D91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534E">
        <w:rPr>
          <w:rFonts w:ascii="Arial" w:hAnsi="Arial" w:cs="Arial"/>
        </w:rPr>
        <w:t>Reference</w:t>
      </w:r>
      <w:r w:rsidRPr="00FD534E">
        <w:rPr>
          <w:rFonts w:ascii="Arial" w:hAnsi="Arial" w:cs="Arial"/>
        </w:rPr>
        <w:tab/>
      </w:r>
      <w:r w:rsidRPr="00FD534E">
        <w:rPr>
          <w:rFonts w:ascii="Arial" w:hAnsi="Arial" w:cs="Arial"/>
        </w:rPr>
        <w:tab/>
        <w:t>:  5/1/2/1/1</w:t>
      </w:r>
      <w:r w:rsidR="00D91F67" w:rsidRPr="00FD534E">
        <w:rPr>
          <w:rFonts w:ascii="Arial" w:hAnsi="Arial" w:cs="Arial"/>
        </w:rPr>
        <w:t xml:space="preserve"> </w:t>
      </w:r>
    </w:p>
    <w:p w:rsidR="00D91F67" w:rsidRDefault="00D91F67" w:rsidP="00D91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534E">
        <w:rPr>
          <w:rFonts w:ascii="Arial" w:hAnsi="Arial" w:cs="Arial"/>
        </w:rPr>
        <w:t>Notice Number</w:t>
      </w:r>
      <w:r w:rsidRPr="00FD534E">
        <w:rPr>
          <w:rFonts w:ascii="Arial" w:hAnsi="Arial" w:cs="Arial"/>
        </w:rPr>
        <w:tab/>
        <w:t xml:space="preserve">:  </w:t>
      </w:r>
      <w:r w:rsidR="00FD534E" w:rsidRPr="00FD534E">
        <w:rPr>
          <w:rFonts w:ascii="Arial" w:hAnsi="Arial" w:cs="Arial"/>
        </w:rPr>
        <w:t>29/2016</w:t>
      </w:r>
    </w:p>
    <w:p w:rsidR="00D91F67" w:rsidRDefault="00D91F67" w:rsidP="00D91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CE3EF4">
        <w:rPr>
          <w:rFonts w:ascii="Arial" w:hAnsi="Arial" w:cs="Arial"/>
        </w:rPr>
        <w:t xml:space="preserve">  </w:t>
      </w:r>
      <w:r w:rsidR="00E76642">
        <w:rPr>
          <w:rFonts w:ascii="Arial" w:hAnsi="Arial" w:cs="Arial"/>
        </w:rPr>
        <w:t>01</w:t>
      </w:r>
      <w:r w:rsidR="006B06A1">
        <w:rPr>
          <w:rFonts w:ascii="Arial" w:hAnsi="Arial" w:cs="Arial"/>
        </w:rPr>
        <w:t xml:space="preserve"> </w:t>
      </w:r>
      <w:r w:rsidR="00E76642">
        <w:rPr>
          <w:rFonts w:ascii="Arial" w:hAnsi="Arial" w:cs="Arial"/>
        </w:rPr>
        <w:t>April 2016</w:t>
      </w:r>
      <w:r w:rsidR="006B06A1">
        <w:rPr>
          <w:rFonts w:ascii="Arial" w:hAnsi="Arial" w:cs="Arial"/>
        </w:rPr>
        <w:t xml:space="preserve"> </w:t>
      </w:r>
    </w:p>
    <w:p w:rsidR="00D91F67" w:rsidRDefault="00D91F67" w:rsidP="00D91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Issued by the </w:t>
      </w:r>
      <w:r w:rsidR="00AC4845">
        <w:rPr>
          <w:rFonts w:ascii="Arial" w:hAnsi="Arial" w:cs="Arial"/>
        </w:rPr>
        <w:t xml:space="preserve">Acting </w:t>
      </w:r>
      <w:r>
        <w:rPr>
          <w:rFonts w:ascii="Arial" w:hAnsi="Arial" w:cs="Arial"/>
        </w:rPr>
        <w:t>Municipal Manager</w:t>
      </w:r>
    </w:p>
    <w:p w:rsidR="00D91F67" w:rsidRPr="00B03D99" w:rsidRDefault="00AC4845" w:rsidP="00D91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</w:t>
      </w:r>
      <w:r w:rsidR="00E76642">
        <w:rPr>
          <w:rFonts w:ascii="Arial" w:hAnsi="Arial" w:cs="Arial"/>
        </w:rPr>
        <w:t>. ME Manaka</w:t>
      </w:r>
      <w:r w:rsidR="00D91F67">
        <w:rPr>
          <w:rFonts w:ascii="Arial" w:hAnsi="Arial" w:cs="Arial"/>
        </w:rPr>
        <w:t xml:space="preserve">  </w:t>
      </w:r>
    </w:p>
    <w:sectPr w:rsidR="00D91F67" w:rsidRPr="00B03D99" w:rsidSect="001B423C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E6" w:rsidRDefault="00D525E6" w:rsidP="000E2714">
      <w:pPr>
        <w:spacing w:after="0" w:line="240" w:lineRule="auto"/>
      </w:pPr>
      <w:r>
        <w:separator/>
      </w:r>
    </w:p>
  </w:endnote>
  <w:endnote w:type="continuationSeparator" w:id="0">
    <w:p w:rsidR="00D525E6" w:rsidRDefault="00D525E6" w:rsidP="000E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E6" w:rsidRDefault="00D525E6" w:rsidP="000E2714">
      <w:pPr>
        <w:spacing w:after="0" w:line="240" w:lineRule="auto"/>
      </w:pPr>
      <w:r>
        <w:separator/>
      </w:r>
    </w:p>
  </w:footnote>
  <w:footnote w:type="continuationSeparator" w:id="0">
    <w:p w:rsidR="00D525E6" w:rsidRDefault="00D525E6" w:rsidP="000E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5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065D5C"/>
    <w:multiLevelType w:val="hybridMultilevel"/>
    <w:tmpl w:val="D178602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243"/>
    <w:multiLevelType w:val="hybridMultilevel"/>
    <w:tmpl w:val="8CD8B0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921ED"/>
    <w:multiLevelType w:val="hybridMultilevel"/>
    <w:tmpl w:val="961400C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>
    <w:nsid w:val="5C66751E"/>
    <w:multiLevelType w:val="hybridMultilevel"/>
    <w:tmpl w:val="AB7C30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6D52BC"/>
    <w:multiLevelType w:val="hybridMultilevel"/>
    <w:tmpl w:val="14EE3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EA"/>
    <w:rsid w:val="00082845"/>
    <w:rsid w:val="0009276A"/>
    <w:rsid w:val="000E2714"/>
    <w:rsid w:val="000E7668"/>
    <w:rsid w:val="00101F0F"/>
    <w:rsid w:val="00103717"/>
    <w:rsid w:val="00111D1D"/>
    <w:rsid w:val="00122E07"/>
    <w:rsid w:val="0014138F"/>
    <w:rsid w:val="00163FB9"/>
    <w:rsid w:val="0016734C"/>
    <w:rsid w:val="0019762A"/>
    <w:rsid w:val="001A1320"/>
    <w:rsid w:val="001A52A0"/>
    <w:rsid w:val="001B423C"/>
    <w:rsid w:val="00232513"/>
    <w:rsid w:val="00254515"/>
    <w:rsid w:val="002647CE"/>
    <w:rsid w:val="002918AC"/>
    <w:rsid w:val="002A0E85"/>
    <w:rsid w:val="002C25F8"/>
    <w:rsid w:val="002D3FB1"/>
    <w:rsid w:val="002D6A11"/>
    <w:rsid w:val="002D75CC"/>
    <w:rsid w:val="0032591F"/>
    <w:rsid w:val="00361611"/>
    <w:rsid w:val="0037279B"/>
    <w:rsid w:val="00380585"/>
    <w:rsid w:val="00382460"/>
    <w:rsid w:val="003A7574"/>
    <w:rsid w:val="003B1EA0"/>
    <w:rsid w:val="003B7B5A"/>
    <w:rsid w:val="004E5C26"/>
    <w:rsid w:val="004F01E8"/>
    <w:rsid w:val="004F0B6F"/>
    <w:rsid w:val="0051019F"/>
    <w:rsid w:val="00545296"/>
    <w:rsid w:val="00567D62"/>
    <w:rsid w:val="005A7BCC"/>
    <w:rsid w:val="005B381E"/>
    <w:rsid w:val="005C03ED"/>
    <w:rsid w:val="005C7018"/>
    <w:rsid w:val="005D02C6"/>
    <w:rsid w:val="005D437E"/>
    <w:rsid w:val="00630D02"/>
    <w:rsid w:val="00652822"/>
    <w:rsid w:val="00671B7E"/>
    <w:rsid w:val="006757BF"/>
    <w:rsid w:val="006B06A1"/>
    <w:rsid w:val="006C7F32"/>
    <w:rsid w:val="006D58FE"/>
    <w:rsid w:val="00734AFE"/>
    <w:rsid w:val="007371AB"/>
    <w:rsid w:val="00756D62"/>
    <w:rsid w:val="00760187"/>
    <w:rsid w:val="00771EBB"/>
    <w:rsid w:val="0079731B"/>
    <w:rsid w:val="007C1936"/>
    <w:rsid w:val="007C675A"/>
    <w:rsid w:val="007C7D64"/>
    <w:rsid w:val="007E414A"/>
    <w:rsid w:val="00805F94"/>
    <w:rsid w:val="008071E2"/>
    <w:rsid w:val="00826208"/>
    <w:rsid w:val="00840D5F"/>
    <w:rsid w:val="00851ABF"/>
    <w:rsid w:val="00856C38"/>
    <w:rsid w:val="00865D3D"/>
    <w:rsid w:val="0089675F"/>
    <w:rsid w:val="008A32AA"/>
    <w:rsid w:val="008B230E"/>
    <w:rsid w:val="008B6D8F"/>
    <w:rsid w:val="008F53EA"/>
    <w:rsid w:val="009133F3"/>
    <w:rsid w:val="00931678"/>
    <w:rsid w:val="00945EF3"/>
    <w:rsid w:val="00951B72"/>
    <w:rsid w:val="009C57F9"/>
    <w:rsid w:val="009D3166"/>
    <w:rsid w:val="009D7E7E"/>
    <w:rsid w:val="009E1CE2"/>
    <w:rsid w:val="009F15FB"/>
    <w:rsid w:val="009F2AF2"/>
    <w:rsid w:val="00A31AED"/>
    <w:rsid w:val="00A44133"/>
    <w:rsid w:val="00A45A7F"/>
    <w:rsid w:val="00A7142C"/>
    <w:rsid w:val="00AA5F30"/>
    <w:rsid w:val="00AA7561"/>
    <w:rsid w:val="00AC4845"/>
    <w:rsid w:val="00AC4ABA"/>
    <w:rsid w:val="00AD0173"/>
    <w:rsid w:val="00AD6612"/>
    <w:rsid w:val="00B03D99"/>
    <w:rsid w:val="00B07681"/>
    <w:rsid w:val="00B315F0"/>
    <w:rsid w:val="00B46869"/>
    <w:rsid w:val="00B572EE"/>
    <w:rsid w:val="00B61C3A"/>
    <w:rsid w:val="00B75A6C"/>
    <w:rsid w:val="00B777FD"/>
    <w:rsid w:val="00B84077"/>
    <w:rsid w:val="00B94281"/>
    <w:rsid w:val="00BB21DE"/>
    <w:rsid w:val="00BC3838"/>
    <w:rsid w:val="00C109E8"/>
    <w:rsid w:val="00C1286B"/>
    <w:rsid w:val="00C71914"/>
    <w:rsid w:val="00C7524C"/>
    <w:rsid w:val="00C94B55"/>
    <w:rsid w:val="00CA2FE4"/>
    <w:rsid w:val="00CB5F3C"/>
    <w:rsid w:val="00CC6432"/>
    <w:rsid w:val="00CD6234"/>
    <w:rsid w:val="00CE1637"/>
    <w:rsid w:val="00CE3EF4"/>
    <w:rsid w:val="00D065A2"/>
    <w:rsid w:val="00D13165"/>
    <w:rsid w:val="00D204F7"/>
    <w:rsid w:val="00D23282"/>
    <w:rsid w:val="00D35605"/>
    <w:rsid w:val="00D47315"/>
    <w:rsid w:val="00D525E6"/>
    <w:rsid w:val="00D56881"/>
    <w:rsid w:val="00D91F67"/>
    <w:rsid w:val="00D92A33"/>
    <w:rsid w:val="00DB24B6"/>
    <w:rsid w:val="00DC31B6"/>
    <w:rsid w:val="00DE72D2"/>
    <w:rsid w:val="00DF5636"/>
    <w:rsid w:val="00E04C71"/>
    <w:rsid w:val="00E119F9"/>
    <w:rsid w:val="00E11BB8"/>
    <w:rsid w:val="00E27B69"/>
    <w:rsid w:val="00E50DEF"/>
    <w:rsid w:val="00E756A6"/>
    <w:rsid w:val="00E76642"/>
    <w:rsid w:val="00EC3104"/>
    <w:rsid w:val="00EF0560"/>
    <w:rsid w:val="00F0325C"/>
    <w:rsid w:val="00F277CA"/>
    <w:rsid w:val="00F30225"/>
    <w:rsid w:val="00F37751"/>
    <w:rsid w:val="00F61AFF"/>
    <w:rsid w:val="00F76F7D"/>
    <w:rsid w:val="00FA78DC"/>
    <w:rsid w:val="00FB2A64"/>
    <w:rsid w:val="00FD534E"/>
    <w:rsid w:val="00FF0A11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73"/>
    <w:pPr>
      <w:spacing w:after="200" w:line="276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869"/>
    <w:rPr>
      <w:color w:val="0000FF"/>
      <w:u w:val="single"/>
    </w:rPr>
  </w:style>
  <w:style w:type="table" w:styleId="TableGrid">
    <w:name w:val="Table Grid"/>
    <w:basedOn w:val="TableNormal"/>
    <w:uiPriority w:val="59"/>
    <w:rsid w:val="00E11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2AA"/>
    <w:pPr>
      <w:ind w:left="720"/>
      <w:contextualSpacing/>
    </w:pPr>
    <w:rPr>
      <w:lang w:val="en-US"/>
    </w:rPr>
  </w:style>
  <w:style w:type="paragraph" w:styleId="BodyTextIndent2">
    <w:name w:val="Body Text Indent 2"/>
    <w:basedOn w:val="Normal"/>
    <w:link w:val="BodyTextIndent2Char"/>
    <w:rsid w:val="009D3166"/>
    <w:pPr>
      <w:spacing w:after="120" w:line="480" w:lineRule="auto"/>
      <w:ind w:left="360"/>
    </w:pPr>
    <w:rPr>
      <w:rFonts w:ascii="Arial" w:eastAsia="Times New Roman" w:hAnsi="Arial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D3166"/>
    <w:rPr>
      <w:rFonts w:ascii="Arial" w:eastAsia="Times New Roman" w:hAnsi="Arial"/>
      <w:bCs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36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semiHidden/>
    <w:unhideWhenUsed/>
    <w:rsid w:val="00FF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89A"/>
    <w:rPr>
      <w:sz w:val="22"/>
      <w:szCs w:val="22"/>
      <w:lang w:val="en-ZA"/>
    </w:rPr>
  </w:style>
  <w:style w:type="paragraph" w:styleId="Footer">
    <w:name w:val="footer"/>
    <w:basedOn w:val="Normal"/>
    <w:link w:val="FooterChar"/>
    <w:uiPriority w:val="99"/>
    <w:semiHidden/>
    <w:unhideWhenUsed/>
    <w:rsid w:val="00FF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89A"/>
    <w:rPr>
      <w:sz w:val="22"/>
      <w:szCs w:val="22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motaung@madibeng.gov.za" TargetMode="Externa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mesMotaung\Documents\My%20Work%20Folder\2016\Budget%202017\Draft%20Budget%202017\201617Draft%20Budget%20Tables%20for%20CF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mesMotaung\Documents\My%20Work%20Folder\2016\Budget%202017\Draft%20Budget%202017\201617Draft%20Budget%20Tables%20for%20CF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33"/>
  <c:chart>
    <c:title>
      <c:tx>
        <c:rich>
          <a:bodyPr/>
          <a:lstStyle/>
          <a:p>
            <a:pPr>
              <a:defRPr/>
            </a:pPr>
            <a:r>
              <a:rPr lang="en-ZA"/>
              <a:t>Revenue Projections 2016/17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223062795116712"/>
          <c:y val="0.16093949794737247"/>
          <c:w val="0.69743748133178252"/>
          <c:h val="0.62748617961216357"/>
        </c:manualLayout>
      </c:layout>
      <c:pie3DChart>
        <c:varyColors val="1"/>
        <c:ser>
          <c:idx val="0"/>
          <c:order val="0"/>
          <c:explosion val="33"/>
          <c:dLbls>
            <c:showCatName val="1"/>
            <c:showPercent val="1"/>
            <c:showLeaderLines val="1"/>
          </c:dLbls>
          <c:cat>
            <c:strRef>
              <c:f>Graph1!$B$3:$B$9</c:f>
              <c:strCache>
                <c:ptCount val="7"/>
                <c:pt idx="0">
                  <c:v>Property Rates</c:v>
                </c:pt>
                <c:pt idx="1">
                  <c:v>Electricity</c:v>
                </c:pt>
                <c:pt idx="2">
                  <c:v>Water</c:v>
                </c:pt>
                <c:pt idx="3">
                  <c:v>Sewerage</c:v>
                </c:pt>
                <c:pt idx="4">
                  <c:v>Refuse Removal</c:v>
                </c:pt>
                <c:pt idx="5">
                  <c:v>Other Income</c:v>
                </c:pt>
                <c:pt idx="6">
                  <c:v>Grants and Subsidies</c:v>
                </c:pt>
              </c:strCache>
            </c:strRef>
          </c:cat>
          <c:val>
            <c:numRef>
              <c:f>Graph1!$C$3:$C$9</c:f>
              <c:numCache>
                <c:formatCode>#,##0;[Red]\-#,##0</c:formatCode>
                <c:ptCount val="7"/>
                <c:pt idx="0">
                  <c:v>294576000</c:v>
                </c:pt>
                <c:pt idx="1">
                  <c:v>445000000</c:v>
                </c:pt>
                <c:pt idx="2">
                  <c:v>147500000</c:v>
                </c:pt>
                <c:pt idx="3">
                  <c:v>35000000</c:v>
                </c:pt>
                <c:pt idx="4">
                  <c:v>30000000</c:v>
                </c:pt>
                <c:pt idx="5">
                  <c:v>106271000</c:v>
                </c:pt>
                <c:pt idx="6">
                  <c:v>515319000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5"/>
  <c:chart>
    <c:plotArea>
      <c:layout>
        <c:manualLayout>
          <c:layoutTarget val="inner"/>
          <c:xMode val="edge"/>
          <c:yMode val="edge"/>
          <c:x val="0.23866868978891892"/>
          <c:y val="0.1515301127899554"/>
          <c:w val="0.47933308792501328"/>
          <c:h val="0.66832292227382695"/>
        </c:manualLayout>
      </c:layout>
      <c:pie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Graph2!$B$4:$B$13</c:f>
              <c:strCache>
                <c:ptCount val="10"/>
                <c:pt idx="0">
                  <c:v>Employee Related Expenses</c:v>
                </c:pt>
                <c:pt idx="1">
                  <c:v>Remuneration of Councillors</c:v>
                </c:pt>
                <c:pt idx="2">
                  <c:v>Bad Debts Provision</c:v>
                </c:pt>
                <c:pt idx="3">
                  <c:v>Depreciation</c:v>
                </c:pt>
                <c:pt idx="4">
                  <c:v>Repair &amp; Maintenance</c:v>
                </c:pt>
                <c:pt idx="5">
                  <c:v>Interest : External Borrowing</c:v>
                </c:pt>
                <c:pt idx="6">
                  <c:v>Bulk Purchases</c:v>
                </c:pt>
                <c:pt idx="7">
                  <c:v>Contracted Services</c:v>
                </c:pt>
                <c:pt idx="8">
                  <c:v>Assistance to Indigents</c:v>
                </c:pt>
                <c:pt idx="9">
                  <c:v>General Expenses</c:v>
                </c:pt>
              </c:strCache>
            </c:strRef>
          </c:cat>
          <c:val>
            <c:numRef>
              <c:f>Graph2!$C$4:$C$13</c:f>
              <c:numCache>
                <c:formatCode>#,##0;[Red]\-#,##0</c:formatCode>
                <c:ptCount val="10"/>
                <c:pt idx="0">
                  <c:v>377680000</c:v>
                </c:pt>
                <c:pt idx="1">
                  <c:v>24400000</c:v>
                </c:pt>
                <c:pt idx="2">
                  <c:v>201000000</c:v>
                </c:pt>
                <c:pt idx="3">
                  <c:v>87370000</c:v>
                </c:pt>
                <c:pt idx="4">
                  <c:v>80943000</c:v>
                </c:pt>
                <c:pt idx="5">
                  <c:v>10000000</c:v>
                </c:pt>
                <c:pt idx="6">
                  <c:v>515000000</c:v>
                </c:pt>
                <c:pt idx="7">
                  <c:v>114150000</c:v>
                </c:pt>
                <c:pt idx="8">
                  <c:v>25000000</c:v>
                </c:pt>
                <c:pt idx="9">
                  <c:v>137031000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Links>
    <vt:vector size="6" baseType="variant"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mailto:jamesmotaung@madibeng.gov.za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jamesmotaung</dc:creator>
  <cp:lastModifiedBy>jamesMotaung</cp:lastModifiedBy>
  <cp:revision>3</cp:revision>
  <cp:lastPrinted>2011-04-29T11:49:00Z</cp:lastPrinted>
  <dcterms:created xsi:type="dcterms:W3CDTF">2016-04-01T07:00:00Z</dcterms:created>
  <dcterms:modified xsi:type="dcterms:W3CDTF">2016-04-01T08:00:00Z</dcterms:modified>
</cp:coreProperties>
</file>