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08D" w:rsidRDefault="0009008D" w:rsidP="001F29D3">
      <w:pPr>
        <w:pStyle w:val="CMSNumberHeading2"/>
      </w:pPr>
      <w:r>
        <w:t xml:space="preserve">Part </w:t>
      </w:r>
      <w:r w:rsidR="003F3A99">
        <w:t>B</w:t>
      </w:r>
      <w:r w:rsidR="00DB29A4">
        <w:t xml:space="preserve"> – </w:t>
      </w:r>
      <w:r w:rsidRPr="00D61A35">
        <w:t xml:space="preserve">Integrity </w:t>
      </w:r>
      <w:r>
        <w:t>Principles</w:t>
      </w:r>
    </w:p>
    <w:p w:rsidR="009C75F7" w:rsidRDefault="009C75F7" w:rsidP="0009008D">
      <w:pPr>
        <w:jc w:val="right"/>
        <w:rPr>
          <w:b/>
          <w:sz w:val="32"/>
          <w:szCs w:val="32"/>
        </w:rPr>
      </w:pPr>
      <w:r>
        <w:rPr>
          <w:b/>
          <w:sz w:val="32"/>
          <w:szCs w:val="32"/>
        </w:rPr>
        <w:t xml:space="preserve">Facilitation Payments Policy Statement </w:t>
      </w:r>
    </w:p>
    <w:p w:rsidR="003F3A99" w:rsidRDefault="003F3A99" w:rsidP="0009008D">
      <w:pPr>
        <w:jc w:val="right"/>
        <w:rPr>
          <w:b/>
          <w:sz w:val="32"/>
          <w:szCs w:val="32"/>
        </w:rPr>
      </w:pPr>
    </w:p>
    <w:p w:rsidR="003F3A99" w:rsidRDefault="003F3A99" w:rsidP="0009008D">
      <w:pPr>
        <w:jc w:val="right"/>
        <w:rPr>
          <w:b/>
          <w:sz w:val="32"/>
          <w:szCs w:val="32"/>
        </w:rPr>
        <w:sectPr w:rsidR="003F3A99" w:rsidSect="00017D3B">
          <w:headerReference w:type="even" r:id="rId8"/>
          <w:headerReference w:type="default" r:id="rId9"/>
          <w:footerReference w:type="default" r:id="rId10"/>
          <w:headerReference w:type="first" r:id="rId11"/>
          <w:pgSz w:w="11906" w:h="16838"/>
          <w:pgMar w:top="1440" w:right="1440" w:bottom="1440" w:left="1440" w:header="709" w:footer="709" w:gutter="0"/>
          <w:cols w:space="708"/>
          <w:vAlign w:val="center"/>
          <w:docGrid w:linePitch="360"/>
        </w:sectPr>
      </w:pPr>
      <w:r>
        <w:rPr>
          <w:b/>
          <w:sz w:val="32"/>
          <w:szCs w:val="32"/>
        </w:rPr>
        <w:t>Principle 5: Facilitation Payments</w:t>
      </w:r>
    </w:p>
    <w:p w:rsidR="0009008D" w:rsidRPr="005F41F3" w:rsidRDefault="00A75717" w:rsidP="0009008D">
      <w:pPr>
        <w:pStyle w:val="Heading1"/>
        <w:rPr>
          <w:rFonts w:asciiTheme="minorHAnsi" w:hAnsiTheme="minorHAnsi"/>
          <w:sz w:val="24"/>
          <w:szCs w:val="24"/>
        </w:rPr>
      </w:pPr>
      <w:r w:rsidRPr="00A75717">
        <w:rPr>
          <w:rFonts w:asciiTheme="minorHAnsi" w:hAnsiTheme="minorHAnsi"/>
          <w:sz w:val="24"/>
          <w:szCs w:val="24"/>
        </w:rPr>
        <w:lastRenderedPageBreak/>
        <w:t>Municipal Integrity Framework - Integrity Principle 5</w:t>
      </w:r>
    </w:p>
    <w:p w:rsidR="0009008D" w:rsidRPr="005F41F3" w:rsidRDefault="009C75F7" w:rsidP="0009008D">
      <w:pPr>
        <w:pStyle w:val="Heading2"/>
        <w:rPr>
          <w:rFonts w:asciiTheme="minorHAnsi" w:hAnsiTheme="minorHAnsi"/>
          <w:sz w:val="24"/>
          <w:szCs w:val="24"/>
        </w:rPr>
      </w:pPr>
      <w:r>
        <w:rPr>
          <w:rFonts w:asciiTheme="minorHAnsi" w:hAnsiTheme="minorHAnsi"/>
          <w:sz w:val="24"/>
          <w:szCs w:val="24"/>
        </w:rPr>
        <w:t xml:space="preserve">Facilitation Payments </w:t>
      </w:r>
    </w:p>
    <w:p w:rsidR="00A71475" w:rsidRDefault="00C07857" w:rsidP="00E765F9">
      <w:pPr>
        <w:pStyle w:val="CMSNumberHeading1"/>
        <w:tabs>
          <w:tab w:val="clear" w:pos="720"/>
        </w:tabs>
        <w:rPr>
          <w:rFonts w:asciiTheme="minorHAnsi" w:hAnsiTheme="minorHAnsi"/>
          <w:szCs w:val="24"/>
        </w:rPr>
      </w:pPr>
      <w:r>
        <w:rPr>
          <w:rFonts w:asciiTheme="minorHAnsi" w:hAnsiTheme="minorHAnsi"/>
          <w:szCs w:val="24"/>
        </w:rPr>
        <w:t xml:space="preserve">  </w:t>
      </w:r>
      <w:r w:rsidR="00A75717" w:rsidRPr="00A75717">
        <w:rPr>
          <w:rFonts w:asciiTheme="minorHAnsi" w:hAnsiTheme="minorHAnsi"/>
          <w:szCs w:val="24"/>
        </w:rPr>
        <w:t>Introduction</w:t>
      </w:r>
    </w:p>
    <w:p w:rsidR="00A71475" w:rsidRDefault="00017D3B" w:rsidP="00E765F9">
      <w:pPr>
        <w:rPr>
          <w:rFonts w:asciiTheme="minorHAnsi" w:hAnsiTheme="minorHAnsi"/>
          <w:szCs w:val="24"/>
        </w:rPr>
      </w:pPr>
      <w:r>
        <w:rPr>
          <w:rFonts w:asciiTheme="minorHAnsi" w:hAnsiTheme="minorHAnsi"/>
          <w:sz w:val="24"/>
          <w:szCs w:val="24"/>
        </w:rPr>
        <w:t>MLM</w:t>
      </w:r>
      <w:r w:rsidR="00A75717" w:rsidRPr="00A75717">
        <w:rPr>
          <w:rFonts w:asciiTheme="minorHAnsi" w:hAnsiTheme="minorHAnsi"/>
          <w:sz w:val="24"/>
          <w:szCs w:val="24"/>
        </w:rPr>
        <w:t xml:space="preserve"> prides itself in running the municipality effectively, efficiently and free from all forms of Corruption and Bribery. </w:t>
      </w:r>
      <w:r w:rsidR="00CD4D79">
        <w:rPr>
          <w:rFonts w:asciiTheme="minorHAnsi" w:hAnsiTheme="minorHAnsi"/>
          <w:sz w:val="24"/>
          <w:szCs w:val="24"/>
        </w:rPr>
        <w:t xml:space="preserve"> </w:t>
      </w:r>
      <w:r>
        <w:rPr>
          <w:rFonts w:asciiTheme="minorHAnsi" w:hAnsiTheme="minorHAnsi"/>
          <w:sz w:val="24"/>
          <w:szCs w:val="24"/>
        </w:rPr>
        <w:t>MLM</w:t>
      </w:r>
      <w:r w:rsidR="00A75717" w:rsidRPr="00A75717">
        <w:rPr>
          <w:rFonts w:asciiTheme="minorHAnsi" w:hAnsiTheme="minorHAnsi"/>
          <w:sz w:val="24"/>
          <w:szCs w:val="24"/>
        </w:rPr>
        <w:t xml:space="preserve"> is committed to improving the lives of its residents through accelerated delivery of services and ensuring that they consistently experience standards of service excellence.</w:t>
      </w:r>
    </w:p>
    <w:p w:rsidR="00A71475" w:rsidRDefault="00A75717" w:rsidP="00E765F9">
      <w:pPr>
        <w:rPr>
          <w:rFonts w:asciiTheme="minorHAnsi" w:hAnsiTheme="minorHAnsi"/>
          <w:szCs w:val="24"/>
        </w:rPr>
      </w:pPr>
      <w:r w:rsidRPr="00A75717">
        <w:rPr>
          <w:rFonts w:asciiTheme="minorHAnsi" w:hAnsiTheme="minorHAnsi"/>
          <w:sz w:val="24"/>
          <w:szCs w:val="24"/>
        </w:rPr>
        <w:t>In order to deliver on service excellence it is essential that our frontline staff bear a common set of values that will guide their interaction with Clients.</w:t>
      </w:r>
    </w:p>
    <w:p w:rsidR="00A71475" w:rsidRDefault="00A71475">
      <w:pPr>
        <w:rPr>
          <w:rFonts w:asciiTheme="minorHAnsi" w:hAnsiTheme="minorHAnsi"/>
          <w:szCs w:val="24"/>
        </w:rPr>
      </w:pPr>
    </w:p>
    <w:p w:rsidR="0009008D" w:rsidRPr="005F41F3" w:rsidRDefault="00A75717" w:rsidP="0075046D">
      <w:pPr>
        <w:rPr>
          <w:rFonts w:asciiTheme="minorHAnsi" w:hAnsiTheme="minorHAnsi"/>
          <w:sz w:val="24"/>
          <w:szCs w:val="24"/>
        </w:rPr>
      </w:pPr>
      <w:r w:rsidRPr="00A75717">
        <w:rPr>
          <w:rFonts w:asciiTheme="minorHAnsi" w:hAnsiTheme="minorHAnsi"/>
          <w:sz w:val="24"/>
          <w:szCs w:val="24"/>
        </w:rPr>
        <w:t xml:space="preserve">. </w:t>
      </w:r>
    </w:p>
    <w:p w:rsidR="00A71475" w:rsidRDefault="00A75717" w:rsidP="00E765F9">
      <w:pPr>
        <w:pStyle w:val="CMSNumberHeading1"/>
        <w:tabs>
          <w:tab w:val="clear" w:pos="720"/>
        </w:tabs>
        <w:rPr>
          <w:rFonts w:asciiTheme="minorHAnsi" w:hAnsiTheme="minorHAnsi"/>
          <w:szCs w:val="24"/>
        </w:rPr>
      </w:pPr>
      <w:r w:rsidRPr="00A75717">
        <w:rPr>
          <w:rFonts w:asciiTheme="minorHAnsi" w:hAnsiTheme="minorHAnsi"/>
          <w:szCs w:val="24"/>
        </w:rPr>
        <w:t>Purpose and Objectives</w:t>
      </w:r>
    </w:p>
    <w:p w:rsidR="009366F2" w:rsidRPr="005F41F3" w:rsidRDefault="00A75717" w:rsidP="009366F2">
      <w:pPr>
        <w:rPr>
          <w:rFonts w:asciiTheme="minorHAnsi" w:hAnsiTheme="minorHAnsi"/>
          <w:sz w:val="24"/>
          <w:szCs w:val="24"/>
        </w:rPr>
      </w:pPr>
      <w:r w:rsidRPr="00A75717">
        <w:rPr>
          <w:rFonts w:asciiTheme="minorHAnsi" w:hAnsiTheme="minorHAnsi"/>
          <w:sz w:val="24"/>
          <w:szCs w:val="24"/>
        </w:rPr>
        <w:t xml:space="preserve">The purpose of this </w:t>
      </w:r>
      <w:r w:rsidR="009C75F7">
        <w:rPr>
          <w:rFonts w:asciiTheme="minorHAnsi" w:hAnsiTheme="minorHAnsi"/>
          <w:sz w:val="24"/>
          <w:szCs w:val="24"/>
        </w:rPr>
        <w:t>Policy Statement</w:t>
      </w:r>
      <w:r w:rsidRPr="00A75717">
        <w:rPr>
          <w:rFonts w:asciiTheme="minorHAnsi" w:hAnsiTheme="minorHAnsi"/>
          <w:sz w:val="24"/>
          <w:szCs w:val="24"/>
        </w:rPr>
        <w:t xml:space="preserve"> is to address the payment of Facilitation Payments which has for a long time been rife in South African culture. </w:t>
      </w:r>
      <w:r w:rsidR="009366F2" w:rsidRPr="00E37869">
        <w:rPr>
          <w:rFonts w:asciiTheme="minorHAnsi" w:hAnsiTheme="minorHAnsi"/>
          <w:sz w:val="24"/>
          <w:szCs w:val="24"/>
        </w:rPr>
        <w:t xml:space="preserve">Facilitations Payments, sometimes known as “grease” payments, are illegal in South Africa. Facilitation payments are a type of a bribe and </w:t>
      </w:r>
      <w:r w:rsidR="009366F2">
        <w:rPr>
          <w:rFonts w:asciiTheme="minorHAnsi" w:hAnsiTheme="minorHAnsi"/>
          <w:sz w:val="24"/>
          <w:szCs w:val="24"/>
        </w:rPr>
        <w:t>are</w:t>
      </w:r>
      <w:r w:rsidR="009366F2" w:rsidRPr="00E37869">
        <w:rPr>
          <w:rFonts w:asciiTheme="minorHAnsi" w:hAnsiTheme="minorHAnsi"/>
          <w:sz w:val="24"/>
          <w:szCs w:val="24"/>
        </w:rPr>
        <w:t xml:space="preserve"> a criminal offence in terms of South African legislation.</w:t>
      </w:r>
    </w:p>
    <w:p w:rsidR="009366F2" w:rsidRDefault="009366F2">
      <w:pPr>
        <w:rPr>
          <w:rFonts w:asciiTheme="minorHAnsi" w:hAnsiTheme="minorHAnsi"/>
          <w:sz w:val="24"/>
          <w:szCs w:val="24"/>
        </w:rPr>
      </w:pPr>
    </w:p>
    <w:p w:rsidR="00E37869" w:rsidRPr="00E37869" w:rsidRDefault="00A75717">
      <w:pPr>
        <w:rPr>
          <w:rFonts w:asciiTheme="minorHAnsi" w:hAnsiTheme="minorHAnsi"/>
          <w:sz w:val="24"/>
          <w:szCs w:val="24"/>
        </w:rPr>
      </w:pPr>
      <w:r w:rsidRPr="00A75717">
        <w:rPr>
          <w:rFonts w:asciiTheme="minorHAnsi" w:hAnsiTheme="minorHAnsi"/>
          <w:sz w:val="24"/>
          <w:szCs w:val="24"/>
        </w:rPr>
        <w:t xml:space="preserve">This </w:t>
      </w:r>
      <w:r w:rsidR="009C75F7">
        <w:rPr>
          <w:rFonts w:asciiTheme="minorHAnsi" w:hAnsiTheme="minorHAnsi"/>
          <w:sz w:val="24"/>
          <w:szCs w:val="24"/>
        </w:rPr>
        <w:t>Policy Statement</w:t>
      </w:r>
      <w:r w:rsidRPr="00A75717">
        <w:rPr>
          <w:rFonts w:asciiTheme="minorHAnsi" w:hAnsiTheme="minorHAnsi"/>
          <w:sz w:val="24"/>
          <w:szCs w:val="24"/>
        </w:rPr>
        <w:t xml:space="preserve"> seeks to provide rules and measures to </w:t>
      </w:r>
      <w:r w:rsidR="009366F2">
        <w:rPr>
          <w:rFonts w:asciiTheme="minorHAnsi" w:hAnsiTheme="minorHAnsi"/>
          <w:sz w:val="24"/>
          <w:szCs w:val="24"/>
        </w:rPr>
        <w:t>against</w:t>
      </w:r>
      <w:r w:rsidRPr="00A75717">
        <w:rPr>
          <w:rFonts w:asciiTheme="minorHAnsi" w:hAnsiTheme="minorHAnsi"/>
          <w:sz w:val="24"/>
          <w:szCs w:val="24"/>
        </w:rPr>
        <w:t xml:space="preserve"> receiving and/or soliciting of Facilitation Payments within </w:t>
      </w:r>
      <w:r w:rsidR="00017D3B">
        <w:rPr>
          <w:rFonts w:asciiTheme="minorHAnsi" w:hAnsiTheme="minorHAnsi"/>
          <w:sz w:val="24"/>
          <w:szCs w:val="24"/>
        </w:rPr>
        <w:t>MLM</w:t>
      </w:r>
      <w:r w:rsidRPr="00A75717">
        <w:rPr>
          <w:rFonts w:asciiTheme="minorHAnsi" w:hAnsiTheme="minorHAnsi"/>
          <w:sz w:val="24"/>
          <w:szCs w:val="24"/>
        </w:rPr>
        <w:t>.</w:t>
      </w:r>
      <w:r w:rsidR="009366F2">
        <w:rPr>
          <w:rFonts w:asciiTheme="minorHAnsi" w:hAnsiTheme="minorHAnsi"/>
          <w:sz w:val="24"/>
          <w:szCs w:val="24"/>
        </w:rPr>
        <w:t xml:space="preserve"> </w:t>
      </w:r>
    </w:p>
    <w:p w:rsidR="00E37869" w:rsidRPr="00E37869" w:rsidRDefault="00A75717">
      <w:pPr>
        <w:rPr>
          <w:rFonts w:asciiTheme="minorHAnsi" w:hAnsiTheme="minorHAnsi"/>
          <w:sz w:val="24"/>
          <w:szCs w:val="24"/>
        </w:rPr>
      </w:pPr>
      <w:r w:rsidRPr="00A75717">
        <w:rPr>
          <w:rFonts w:asciiTheme="minorHAnsi" w:hAnsiTheme="minorHAnsi"/>
          <w:sz w:val="24"/>
          <w:szCs w:val="24"/>
        </w:rPr>
        <w:t xml:space="preserve">The objective of this </w:t>
      </w:r>
      <w:r w:rsidR="009C75F7">
        <w:rPr>
          <w:rFonts w:asciiTheme="minorHAnsi" w:hAnsiTheme="minorHAnsi"/>
          <w:sz w:val="24"/>
          <w:szCs w:val="24"/>
        </w:rPr>
        <w:t>Policy Statement</w:t>
      </w:r>
      <w:r w:rsidRPr="00A75717">
        <w:rPr>
          <w:rFonts w:asciiTheme="minorHAnsi" w:hAnsiTheme="minorHAnsi"/>
          <w:sz w:val="24"/>
          <w:szCs w:val="24"/>
        </w:rPr>
        <w:t xml:space="preserve"> is to ensure that conduct and decision making of all </w:t>
      </w:r>
      <w:r w:rsidR="00017D3B">
        <w:rPr>
          <w:rFonts w:asciiTheme="minorHAnsi" w:hAnsiTheme="minorHAnsi"/>
          <w:sz w:val="24"/>
          <w:szCs w:val="24"/>
        </w:rPr>
        <w:t>MLM</w:t>
      </w:r>
      <w:r w:rsidRPr="00A75717">
        <w:rPr>
          <w:rFonts w:asciiTheme="minorHAnsi" w:hAnsiTheme="minorHAnsi"/>
          <w:sz w:val="24"/>
          <w:szCs w:val="24"/>
        </w:rPr>
        <w:t xml:space="preserve"> Employees should be founded from the values of ethics and integrity.</w:t>
      </w:r>
    </w:p>
    <w:p w:rsidR="00E37869" w:rsidRPr="00E37869" w:rsidRDefault="00A75717">
      <w:pPr>
        <w:rPr>
          <w:rFonts w:asciiTheme="minorHAnsi" w:hAnsiTheme="minorHAnsi"/>
          <w:sz w:val="24"/>
          <w:szCs w:val="24"/>
        </w:rPr>
      </w:pPr>
      <w:r w:rsidRPr="00A75717">
        <w:rPr>
          <w:rFonts w:asciiTheme="minorHAnsi" w:hAnsiTheme="minorHAnsi"/>
          <w:sz w:val="24"/>
          <w:szCs w:val="24"/>
        </w:rPr>
        <w:lastRenderedPageBreak/>
        <w:t xml:space="preserve">These values should at all times be at the fore front of their decision making. </w:t>
      </w:r>
      <w:r w:rsidR="00017D3B">
        <w:rPr>
          <w:rFonts w:asciiTheme="minorHAnsi" w:hAnsiTheme="minorHAnsi"/>
          <w:sz w:val="24"/>
          <w:szCs w:val="24"/>
        </w:rPr>
        <w:t>MLM</w:t>
      </w:r>
      <w:r w:rsidRPr="00A75717">
        <w:rPr>
          <w:rFonts w:asciiTheme="minorHAnsi" w:hAnsiTheme="minorHAnsi"/>
          <w:sz w:val="24"/>
          <w:szCs w:val="24"/>
        </w:rPr>
        <w:t xml:space="preserve"> Employees should at all times strive to serve the consumers and residents of </w:t>
      </w:r>
      <w:r w:rsidR="00017D3B">
        <w:rPr>
          <w:rFonts w:asciiTheme="minorHAnsi" w:hAnsiTheme="minorHAnsi"/>
          <w:sz w:val="24"/>
          <w:szCs w:val="24"/>
        </w:rPr>
        <w:t>MLM</w:t>
      </w:r>
      <w:r w:rsidRPr="00A75717">
        <w:rPr>
          <w:rFonts w:asciiTheme="minorHAnsi" w:hAnsiTheme="minorHAnsi"/>
          <w:sz w:val="24"/>
          <w:szCs w:val="24"/>
        </w:rPr>
        <w:t xml:space="preserve"> in a fair and equitable manner without fear or favour.</w:t>
      </w:r>
    </w:p>
    <w:p w:rsidR="00A71475" w:rsidRDefault="00A75717" w:rsidP="00E765F9">
      <w:pPr>
        <w:pStyle w:val="CMSNumberHeading1"/>
        <w:tabs>
          <w:tab w:val="clear" w:pos="720"/>
        </w:tabs>
        <w:rPr>
          <w:rFonts w:asciiTheme="minorHAnsi" w:hAnsiTheme="minorHAnsi"/>
          <w:szCs w:val="24"/>
        </w:rPr>
      </w:pPr>
      <w:r w:rsidRPr="00A75717">
        <w:rPr>
          <w:rFonts w:asciiTheme="minorHAnsi" w:hAnsiTheme="minorHAnsi"/>
          <w:szCs w:val="24"/>
        </w:rPr>
        <w:t>Scope</w:t>
      </w:r>
    </w:p>
    <w:p w:rsidR="00A71475" w:rsidRDefault="00A75717">
      <w:pPr>
        <w:pStyle w:val="CMSNumberHeading1"/>
        <w:numPr>
          <w:ilvl w:val="0"/>
          <w:numId w:val="0"/>
        </w:numPr>
        <w:tabs>
          <w:tab w:val="clear" w:pos="720"/>
          <w:tab w:val="left" w:pos="0"/>
        </w:tabs>
        <w:rPr>
          <w:rFonts w:asciiTheme="minorHAnsi" w:hAnsiTheme="minorHAnsi"/>
          <w:b w:val="0"/>
          <w:szCs w:val="24"/>
        </w:rPr>
      </w:pPr>
      <w:r w:rsidRPr="00A75717">
        <w:rPr>
          <w:rFonts w:asciiTheme="minorHAnsi" w:hAnsiTheme="minorHAnsi"/>
          <w:b w:val="0"/>
          <w:szCs w:val="24"/>
        </w:rPr>
        <w:t xml:space="preserve">This </w:t>
      </w:r>
      <w:r w:rsidR="009C75F7">
        <w:rPr>
          <w:rFonts w:asciiTheme="minorHAnsi" w:hAnsiTheme="minorHAnsi"/>
          <w:b w:val="0"/>
          <w:szCs w:val="24"/>
        </w:rPr>
        <w:t>Policy Statement</w:t>
      </w:r>
      <w:r w:rsidRPr="00A75717">
        <w:rPr>
          <w:rFonts w:asciiTheme="minorHAnsi" w:hAnsiTheme="minorHAnsi"/>
          <w:b w:val="0"/>
          <w:szCs w:val="24"/>
        </w:rPr>
        <w:t xml:space="preserve"> shall apply to all Employees</w:t>
      </w:r>
      <w:r w:rsidR="00CD4D79">
        <w:rPr>
          <w:rFonts w:asciiTheme="minorHAnsi" w:hAnsiTheme="minorHAnsi"/>
          <w:b w:val="0"/>
          <w:szCs w:val="24"/>
        </w:rPr>
        <w:t>, as defined, and where applicable,</w:t>
      </w:r>
      <w:r w:rsidRPr="00A75717">
        <w:rPr>
          <w:rFonts w:asciiTheme="minorHAnsi" w:hAnsiTheme="minorHAnsi"/>
          <w:b w:val="0"/>
          <w:szCs w:val="24"/>
        </w:rPr>
        <w:t xml:space="preserve"> as well as Employee’s employed by any of the entities within </w:t>
      </w:r>
      <w:r w:rsidR="00017D3B">
        <w:rPr>
          <w:rFonts w:asciiTheme="minorHAnsi" w:hAnsiTheme="minorHAnsi"/>
          <w:b w:val="0"/>
          <w:szCs w:val="24"/>
        </w:rPr>
        <w:t>MLM</w:t>
      </w:r>
      <w:r w:rsidRPr="00A75717">
        <w:rPr>
          <w:rFonts w:asciiTheme="minorHAnsi" w:hAnsiTheme="minorHAnsi"/>
          <w:b w:val="0"/>
          <w:szCs w:val="24"/>
        </w:rPr>
        <w:t>.</w:t>
      </w:r>
    </w:p>
    <w:p w:rsidR="005665E0" w:rsidRDefault="005665E0" w:rsidP="005665E0">
      <w:pPr>
        <w:pStyle w:val="ListParagraph"/>
        <w:spacing w:before="0" w:after="0"/>
        <w:ind w:left="0"/>
        <w:rPr>
          <w:rFonts w:asciiTheme="minorHAnsi" w:hAnsiTheme="minorHAnsi"/>
          <w:sz w:val="24"/>
          <w:szCs w:val="24"/>
        </w:rPr>
      </w:pPr>
      <w:r w:rsidRPr="005F41F3">
        <w:rPr>
          <w:rFonts w:asciiTheme="minorHAnsi" w:hAnsiTheme="minorHAnsi"/>
          <w:sz w:val="24"/>
          <w:szCs w:val="24"/>
        </w:rPr>
        <w:t xml:space="preserve">In instances where an existing </w:t>
      </w:r>
      <w:r w:rsidR="009C75F7">
        <w:rPr>
          <w:rFonts w:asciiTheme="minorHAnsi" w:hAnsiTheme="minorHAnsi"/>
          <w:sz w:val="24"/>
          <w:szCs w:val="24"/>
        </w:rPr>
        <w:t>Policy Statement</w:t>
      </w:r>
      <w:r w:rsidRPr="005F41F3">
        <w:rPr>
          <w:rFonts w:asciiTheme="minorHAnsi" w:hAnsiTheme="minorHAnsi"/>
          <w:sz w:val="24"/>
          <w:szCs w:val="24"/>
        </w:rPr>
        <w:t xml:space="preserve"> and/or procedure does exist, the principle around the application thereof shall be that the higher/stricter/more stringent </w:t>
      </w:r>
      <w:r w:rsidR="009C75F7">
        <w:rPr>
          <w:rFonts w:asciiTheme="minorHAnsi" w:hAnsiTheme="minorHAnsi"/>
          <w:sz w:val="24"/>
          <w:szCs w:val="24"/>
        </w:rPr>
        <w:t>Policy Statement</w:t>
      </w:r>
      <w:r w:rsidRPr="005F41F3">
        <w:rPr>
          <w:rFonts w:asciiTheme="minorHAnsi" w:hAnsiTheme="minorHAnsi"/>
          <w:sz w:val="24"/>
          <w:szCs w:val="24"/>
        </w:rPr>
        <w:t xml:space="preserve"> and/or procedure shall always apply.</w:t>
      </w:r>
    </w:p>
    <w:p w:rsidR="00CD4D79" w:rsidRDefault="00CD4D79" w:rsidP="005665E0">
      <w:pPr>
        <w:pStyle w:val="ListParagraph"/>
        <w:spacing w:before="0" w:after="0"/>
        <w:ind w:left="0"/>
        <w:rPr>
          <w:rFonts w:asciiTheme="minorHAnsi" w:hAnsiTheme="minorHAnsi"/>
          <w:sz w:val="24"/>
          <w:szCs w:val="24"/>
        </w:rPr>
      </w:pPr>
    </w:p>
    <w:p w:rsidR="00A71475" w:rsidRPr="009C75F7" w:rsidRDefault="00CD4D79" w:rsidP="009C75F7">
      <w:pPr>
        <w:spacing w:before="0" w:after="0"/>
        <w:rPr>
          <w:rFonts w:ascii="Calibri" w:eastAsia="Calibri" w:hAnsi="Calibri" w:cs="Times New Roman"/>
          <w:sz w:val="24"/>
          <w:szCs w:val="24"/>
        </w:rPr>
      </w:pPr>
      <w:r>
        <w:rPr>
          <w:rFonts w:ascii="Calibri" w:eastAsia="Calibri" w:hAnsi="Calibri" w:cs="Times New Roman"/>
          <w:sz w:val="24"/>
          <w:szCs w:val="24"/>
        </w:rPr>
        <w:t xml:space="preserve">This </w:t>
      </w:r>
      <w:r w:rsidR="009C75F7">
        <w:rPr>
          <w:rFonts w:ascii="Calibri" w:eastAsia="Calibri" w:hAnsi="Calibri" w:cs="Times New Roman"/>
          <w:sz w:val="24"/>
          <w:szCs w:val="24"/>
        </w:rPr>
        <w:t>Policy Statement</w:t>
      </w:r>
      <w:r>
        <w:rPr>
          <w:rFonts w:ascii="Calibri" w:eastAsia="Calibri" w:hAnsi="Calibri" w:cs="Times New Roman"/>
          <w:sz w:val="24"/>
          <w:szCs w:val="24"/>
        </w:rPr>
        <w:t xml:space="preserve"> forms part of the terms and conditions of employment. The </w:t>
      </w:r>
      <w:r w:rsidR="00017D3B">
        <w:rPr>
          <w:rFonts w:ascii="Calibri" w:eastAsia="Calibri" w:hAnsi="Calibri" w:cs="Times New Roman"/>
          <w:sz w:val="24"/>
          <w:szCs w:val="24"/>
        </w:rPr>
        <w:t>MLM</w:t>
      </w:r>
      <w:r>
        <w:rPr>
          <w:rFonts w:ascii="Calibri" w:eastAsia="Calibri" w:hAnsi="Calibri" w:cs="Times New Roman"/>
          <w:sz w:val="24"/>
          <w:szCs w:val="24"/>
        </w:rPr>
        <w:t xml:space="preserve"> reserves the right, at its sole discretion, to amend, modify or waive any term or condition in this </w:t>
      </w:r>
      <w:r w:rsidR="009C75F7">
        <w:rPr>
          <w:rFonts w:ascii="Calibri" w:eastAsia="Calibri" w:hAnsi="Calibri" w:cs="Times New Roman"/>
          <w:sz w:val="24"/>
          <w:szCs w:val="24"/>
        </w:rPr>
        <w:t>Policy Statement</w:t>
      </w:r>
      <w:r>
        <w:rPr>
          <w:rFonts w:ascii="Calibri" w:eastAsia="Calibri" w:hAnsi="Calibri" w:cs="Times New Roman"/>
          <w:sz w:val="24"/>
          <w:szCs w:val="24"/>
        </w:rPr>
        <w:t>, subject to obtaining relevant input from affected employees.</w:t>
      </w:r>
    </w:p>
    <w:p w:rsidR="00A71475" w:rsidRDefault="00A75717" w:rsidP="00E765F9">
      <w:pPr>
        <w:pStyle w:val="CMSNumberHeading1"/>
        <w:rPr>
          <w:rFonts w:asciiTheme="minorHAnsi" w:hAnsiTheme="minorHAnsi"/>
          <w:szCs w:val="24"/>
        </w:rPr>
      </w:pPr>
      <w:r w:rsidRPr="00A75717">
        <w:rPr>
          <w:rFonts w:asciiTheme="minorHAnsi" w:hAnsiTheme="minorHAnsi"/>
          <w:szCs w:val="24"/>
        </w:rPr>
        <w:t>Definitions</w:t>
      </w:r>
    </w:p>
    <w:tbl>
      <w:tblPr>
        <w:tblStyle w:val="TableGrid"/>
        <w:tblW w:w="8673" w:type="dxa"/>
        <w:tblLook w:val="01E0" w:firstRow="1" w:lastRow="1" w:firstColumn="1" w:lastColumn="1" w:noHBand="0" w:noVBand="0"/>
      </w:tblPr>
      <w:tblGrid>
        <w:gridCol w:w="1843"/>
        <w:gridCol w:w="6830"/>
      </w:tblGrid>
      <w:tr w:rsidR="001C7B35" w:rsidRPr="005F41F3" w:rsidTr="00CD4D79">
        <w:tc>
          <w:tcPr>
            <w:tcW w:w="1843" w:type="dxa"/>
          </w:tcPr>
          <w:p w:rsidR="00A71475" w:rsidRDefault="00A75717">
            <w:pPr>
              <w:rPr>
                <w:b/>
                <w:lang w:eastAsia="en-GB"/>
              </w:rPr>
            </w:pPr>
            <w:r w:rsidRPr="00A75717">
              <w:rPr>
                <w:b/>
                <w:lang w:eastAsia="en-GB"/>
              </w:rPr>
              <w:t>Term</w:t>
            </w:r>
          </w:p>
        </w:tc>
        <w:tc>
          <w:tcPr>
            <w:tcW w:w="6830" w:type="dxa"/>
          </w:tcPr>
          <w:p w:rsidR="00A71475" w:rsidRDefault="00A75717">
            <w:pPr>
              <w:rPr>
                <w:b/>
                <w:lang w:eastAsia="en-GB"/>
              </w:rPr>
            </w:pPr>
            <w:r w:rsidRPr="00A75717">
              <w:rPr>
                <w:b/>
                <w:lang w:eastAsia="en-GB"/>
              </w:rPr>
              <w:t>Definition</w:t>
            </w:r>
          </w:p>
        </w:tc>
      </w:tr>
      <w:tr w:rsidR="005665E0" w:rsidRPr="005F41F3" w:rsidTr="00CD4D79">
        <w:tc>
          <w:tcPr>
            <w:tcW w:w="1843" w:type="dxa"/>
          </w:tcPr>
          <w:p w:rsidR="005665E0" w:rsidRPr="005F41F3" w:rsidRDefault="00A75717" w:rsidP="00017D3B">
            <w:pPr>
              <w:spacing w:after="120"/>
              <w:rPr>
                <w:rFonts w:asciiTheme="minorHAnsi" w:hAnsiTheme="minorHAnsi" w:cs="Arial"/>
                <w:color w:val="000000"/>
                <w:sz w:val="24"/>
                <w:szCs w:val="24"/>
              </w:rPr>
            </w:pPr>
            <w:r w:rsidRPr="00A75717">
              <w:rPr>
                <w:rFonts w:asciiTheme="minorHAnsi" w:hAnsiTheme="minorHAnsi" w:cs="Arial"/>
                <w:sz w:val="24"/>
                <w:szCs w:val="24"/>
              </w:rPr>
              <w:t>Bribery</w:t>
            </w:r>
          </w:p>
        </w:tc>
        <w:tc>
          <w:tcPr>
            <w:tcW w:w="6830" w:type="dxa"/>
          </w:tcPr>
          <w:p w:rsidR="005665E0" w:rsidRPr="005F41F3" w:rsidRDefault="00A75717" w:rsidP="00017D3B">
            <w:pPr>
              <w:pStyle w:val="Normal1"/>
              <w:spacing w:after="120"/>
              <w:jc w:val="both"/>
              <w:rPr>
                <w:rFonts w:asciiTheme="minorHAnsi" w:hAnsiTheme="minorHAnsi" w:cs="Arial"/>
                <w:color w:val="000000"/>
                <w:lang w:eastAsia="en-ZA"/>
              </w:rPr>
            </w:pPr>
            <w:r w:rsidRPr="00A75717">
              <w:rPr>
                <w:rFonts w:asciiTheme="minorHAnsi" w:hAnsiTheme="minorHAnsi" w:cs="Arial"/>
              </w:rPr>
              <w:t xml:space="preserve">Bribery involves the promise, offering or giving of a benefit that improperly affects the actions or decisions of an </w:t>
            </w:r>
            <w:r w:rsidR="00017D3B">
              <w:rPr>
                <w:rFonts w:asciiTheme="minorHAnsi" w:hAnsiTheme="minorHAnsi" w:cs="Arial"/>
              </w:rPr>
              <w:t>MLM</w:t>
            </w:r>
            <w:r w:rsidRPr="00A75717">
              <w:rPr>
                <w:rFonts w:asciiTheme="minorHAnsi" w:hAnsiTheme="minorHAnsi" w:cs="Arial"/>
              </w:rPr>
              <w:t xml:space="preserve"> employee. This includes sexual bribery.</w:t>
            </w:r>
          </w:p>
        </w:tc>
      </w:tr>
      <w:tr w:rsidR="001C7B35" w:rsidRPr="005F41F3" w:rsidTr="00CD4D79">
        <w:tc>
          <w:tcPr>
            <w:tcW w:w="1843" w:type="dxa"/>
          </w:tcPr>
          <w:p w:rsidR="001C7B35" w:rsidRPr="005F41F3" w:rsidRDefault="001C7B35" w:rsidP="00017D3B">
            <w:pPr>
              <w:spacing w:after="120"/>
              <w:rPr>
                <w:rFonts w:asciiTheme="minorHAnsi" w:hAnsiTheme="minorHAnsi" w:cs="Arial"/>
                <w:bCs/>
                <w:color w:val="000000"/>
                <w:sz w:val="24"/>
                <w:szCs w:val="24"/>
              </w:rPr>
            </w:pPr>
            <w:r w:rsidRPr="005F41F3">
              <w:rPr>
                <w:rFonts w:asciiTheme="minorHAnsi" w:hAnsiTheme="minorHAnsi" w:cs="Arial"/>
                <w:color w:val="000000"/>
                <w:sz w:val="24"/>
                <w:szCs w:val="24"/>
              </w:rPr>
              <w:t>Clients</w:t>
            </w:r>
          </w:p>
        </w:tc>
        <w:tc>
          <w:tcPr>
            <w:tcW w:w="6830" w:type="dxa"/>
          </w:tcPr>
          <w:p w:rsidR="001C7B35" w:rsidRPr="005F41F3" w:rsidRDefault="001C7B35" w:rsidP="00017D3B">
            <w:pPr>
              <w:pStyle w:val="Normal1"/>
              <w:spacing w:after="120"/>
              <w:jc w:val="both"/>
              <w:rPr>
                <w:rFonts w:asciiTheme="minorHAnsi" w:hAnsiTheme="minorHAnsi" w:cs="Arial"/>
                <w:color w:val="000000"/>
                <w:lang w:eastAsia="en-ZA"/>
              </w:rPr>
            </w:pPr>
            <w:r w:rsidRPr="005F41F3">
              <w:rPr>
                <w:rFonts w:asciiTheme="minorHAnsi" w:hAnsiTheme="minorHAnsi" w:cs="Arial"/>
                <w:color w:val="000000"/>
                <w:lang w:eastAsia="en-ZA"/>
              </w:rPr>
              <w:t xml:space="preserve">Any person (including a legal entity) to which </w:t>
            </w:r>
            <w:r w:rsidR="00017D3B">
              <w:rPr>
                <w:rFonts w:asciiTheme="minorHAnsi" w:hAnsiTheme="minorHAnsi" w:cs="Arial"/>
                <w:color w:val="000000"/>
                <w:lang w:eastAsia="en-ZA"/>
              </w:rPr>
              <w:t>MLM</w:t>
            </w:r>
            <w:r w:rsidRPr="005F41F3">
              <w:rPr>
                <w:rFonts w:asciiTheme="minorHAnsi" w:hAnsiTheme="minorHAnsi" w:cs="Arial"/>
                <w:color w:val="000000"/>
                <w:lang w:eastAsia="en-ZA"/>
              </w:rPr>
              <w:t xml:space="preserve"> provides or intends to provide Goods or Services including </w:t>
            </w:r>
            <w:r w:rsidR="00CD4D79">
              <w:rPr>
                <w:rFonts w:asciiTheme="minorHAnsi" w:hAnsiTheme="minorHAnsi" w:cs="Arial"/>
                <w:color w:val="000000"/>
                <w:lang w:eastAsia="en-ZA"/>
              </w:rPr>
              <w:t xml:space="preserve">residents, </w:t>
            </w:r>
            <w:r w:rsidRPr="005F41F3">
              <w:rPr>
                <w:rFonts w:asciiTheme="minorHAnsi" w:hAnsiTheme="minorHAnsi" w:cs="Arial"/>
                <w:color w:val="000000"/>
                <w:lang w:eastAsia="en-ZA"/>
              </w:rPr>
              <w:t>property owners, developers, tenants, shareholders and persons or legal entities associated with such Clients.</w:t>
            </w:r>
          </w:p>
        </w:tc>
      </w:tr>
      <w:tr w:rsidR="005665E0" w:rsidRPr="005F41F3" w:rsidTr="00CD4D79">
        <w:tc>
          <w:tcPr>
            <w:tcW w:w="1843" w:type="dxa"/>
          </w:tcPr>
          <w:p w:rsidR="005665E0" w:rsidRPr="005F41F3" w:rsidRDefault="00A75717" w:rsidP="00017D3B">
            <w:pPr>
              <w:spacing w:after="120"/>
              <w:rPr>
                <w:rFonts w:asciiTheme="minorHAnsi" w:hAnsiTheme="minorHAnsi" w:cs="Arial"/>
                <w:color w:val="000000"/>
                <w:sz w:val="24"/>
                <w:szCs w:val="24"/>
              </w:rPr>
            </w:pPr>
            <w:r w:rsidRPr="00A75717">
              <w:rPr>
                <w:rFonts w:asciiTheme="minorHAnsi" w:hAnsiTheme="minorHAnsi" w:cs="Arial"/>
                <w:sz w:val="24"/>
                <w:szCs w:val="24"/>
              </w:rPr>
              <w:t>Corruption</w:t>
            </w:r>
          </w:p>
        </w:tc>
        <w:tc>
          <w:tcPr>
            <w:tcW w:w="6830" w:type="dxa"/>
          </w:tcPr>
          <w:p w:rsidR="005665E0" w:rsidRPr="005F41F3" w:rsidRDefault="00A75717" w:rsidP="00017D3B">
            <w:pPr>
              <w:pStyle w:val="Normal1"/>
              <w:spacing w:after="120"/>
              <w:jc w:val="both"/>
              <w:rPr>
                <w:rFonts w:asciiTheme="minorHAnsi" w:hAnsiTheme="minorHAnsi" w:cs="Arial"/>
                <w:color w:val="000000"/>
                <w:lang w:eastAsia="en-ZA"/>
              </w:rPr>
            </w:pPr>
            <w:r w:rsidRPr="00A75717">
              <w:rPr>
                <w:rFonts w:asciiTheme="minorHAnsi" w:hAnsiTheme="minorHAnsi" w:cs="Arial"/>
              </w:rPr>
              <w:t xml:space="preserve">Any offence in terms of the Prevention and Combating of Corrupt Activities Act, 2004 (Act No 12 of 2004).  </w:t>
            </w:r>
          </w:p>
        </w:tc>
      </w:tr>
      <w:tr w:rsidR="001C7B35" w:rsidRPr="005F41F3" w:rsidTr="00CD4D79">
        <w:tc>
          <w:tcPr>
            <w:tcW w:w="1843" w:type="dxa"/>
          </w:tcPr>
          <w:p w:rsidR="001C7B35" w:rsidRPr="005F41F3" w:rsidRDefault="001C7B35" w:rsidP="00017D3B">
            <w:pPr>
              <w:spacing w:after="120"/>
              <w:rPr>
                <w:rFonts w:asciiTheme="minorHAnsi" w:hAnsiTheme="minorHAnsi" w:cs="Arial"/>
                <w:color w:val="000000"/>
                <w:sz w:val="24"/>
                <w:szCs w:val="24"/>
              </w:rPr>
            </w:pPr>
            <w:r w:rsidRPr="005F41F3">
              <w:rPr>
                <w:rFonts w:asciiTheme="minorHAnsi" w:hAnsiTheme="minorHAnsi" w:cs="Arial"/>
                <w:color w:val="000000"/>
                <w:sz w:val="24"/>
                <w:szCs w:val="24"/>
              </w:rPr>
              <w:lastRenderedPageBreak/>
              <w:t>Employees</w:t>
            </w:r>
          </w:p>
        </w:tc>
        <w:tc>
          <w:tcPr>
            <w:tcW w:w="6830" w:type="dxa"/>
          </w:tcPr>
          <w:p w:rsidR="001C7B35" w:rsidRPr="005F41F3" w:rsidRDefault="001C7B35" w:rsidP="00017D3B">
            <w:pPr>
              <w:spacing w:after="120"/>
              <w:rPr>
                <w:rFonts w:asciiTheme="minorHAnsi" w:hAnsiTheme="minorHAnsi" w:cs="Arial"/>
                <w:color w:val="000000"/>
                <w:sz w:val="24"/>
                <w:szCs w:val="24"/>
              </w:rPr>
            </w:pPr>
            <w:r w:rsidRPr="005F41F3">
              <w:rPr>
                <w:rFonts w:asciiTheme="minorHAnsi" w:hAnsiTheme="minorHAnsi" w:cs="Arial"/>
                <w:color w:val="000000"/>
                <w:sz w:val="24"/>
                <w:szCs w:val="24"/>
              </w:rPr>
              <w:t>Any person who works for the Council and who receives, or is entitled to receive, any</w:t>
            </w:r>
            <w:r w:rsidRPr="005F41F3">
              <w:rPr>
                <w:rStyle w:val="apple-converted-space"/>
                <w:rFonts w:asciiTheme="minorHAnsi" w:hAnsiTheme="minorHAnsi" w:cs="Arial"/>
                <w:color w:val="000000"/>
                <w:sz w:val="24"/>
                <w:szCs w:val="24"/>
              </w:rPr>
              <w:t> </w:t>
            </w:r>
            <w:r w:rsidRPr="005F41F3">
              <w:rPr>
                <w:rFonts w:asciiTheme="minorHAnsi" w:hAnsiTheme="minorHAnsi" w:cs="Arial"/>
                <w:iCs/>
                <w:color w:val="000000"/>
                <w:sz w:val="24"/>
                <w:szCs w:val="24"/>
              </w:rPr>
              <w:t>remuneration</w:t>
            </w:r>
            <w:r w:rsidRPr="005F41F3">
              <w:rPr>
                <w:rFonts w:asciiTheme="minorHAnsi" w:hAnsiTheme="minorHAnsi" w:cs="Arial"/>
                <w:color w:val="000000"/>
                <w:sz w:val="24"/>
                <w:szCs w:val="24"/>
              </w:rPr>
              <w:t>; and any other person who in any manner assists in carrying on or conducting the business of the Council. For purposes of this Framework, employee includes independent contractors, labour broker employees, persons seconded from other local, provincial or national government, or seconded from any entity belonging to a local</w:t>
            </w:r>
            <w:r w:rsidR="00DC4FE9">
              <w:rPr>
                <w:rFonts w:asciiTheme="minorHAnsi" w:hAnsiTheme="minorHAnsi" w:cs="Arial"/>
                <w:color w:val="000000"/>
                <w:sz w:val="24"/>
                <w:szCs w:val="24"/>
              </w:rPr>
              <w:t>, provincial or national government</w:t>
            </w:r>
            <w:r w:rsidRPr="005F41F3">
              <w:rPr>
                <w:rFonts w:asciiTheme="minorHAnsi" w:hAnsiTheme="minorHAnsi"/>
                <w:color w:val="000000"/>
                <w:sz w:val="24"/>
                <w:szCs w:val="24"/>
              </w:rPr>
              <w:t>.</w:t>
            </w:r>
          </w:p>
        </w:tc>
      </w:tr>
      <w:tr w:rsidR="005665E0" w:rsidRPr="005F41F3" w:rsidTr="00CD4D79">
        <w:tc>
          <w:tcPr>
            <w:tcW w:w="1843" w:type="dxa"/>
          </w:tcPr>
          <w:p w:rsidR="005665E0" w:rsidRPr="005F41F3" w:rsidRDefault="005665E0" w:rsidP="00017D3B">
            <w:pPr>
              <w:spacing w:after="120"/>
              <w:rPr>
                <w:rFonts w:asciiTheme="minorHAnsi" w:hAnsiTheme="minorHAnsi" w:cs="Arial"/>
                <w:color w:val="000000"/>
                <w:sz w:val="24"/>
                <w:szCs w:val="24"/>
              </w:rPr>
            </w:pPr>
            <w:r w:rsidRPr="005F41F3">
              <w:rPr>
                <w:rFonts w:asciiTheme="minorHAnsi" w:hAnsiTheme="minorHAnsi" w:cs="Arial"/>
                <w:color w:val="000000"/>
                <w:sz w:val="24"/>
                <w:szCs w:val="24"/>
              </w:rPr>
              <w:t>Facilitation Payment(s)</w:t>
            </w:r>
          </w:p>
        </w:tc>
        <w:tc>
          <w:tcPr>
            <w:tcW w:w="6830" w:type="dxa"/>
          </w:tcPr>
          <w:p w:rsidR="005665E0" w:rsidRPr="005F41F3" w:rsidRDefault="005665E0" w:rsidP="00CD4D79">
            <w:pPr>
              <w:spacing w:after="120"/>
              <w:rPr>
                <w:rFonts w:asciiTheme="minorHAnsi" w:hAnsiTheme="minorHAnsi" w:cs="Arial"/>
                <w:color w:val="000000"/>
                <w:sz w:val="24"/>
                <w:szCs w:val="24"/>
              </w:rPr>
            </w:pPr>
            <w:r w:rsidRPr="005F41F3">
              <w:rPr>
                <w:rFonts w:asciiTheme="minorHAnsi" w:hAnsiTheme="minorHAnsi" w:cs="Arial"/>
                <w:color w:val="000000"/>
                <w:sz w:val="24"/>
                <w:szCs w:val="24"/>
              </w:rPr>
              <w:t xml:space="preserve">Facilitation Payments are typically unofficial payments </w:t>
            </w:r>
            <w:r w:rsidR="00DC4FE9">
              <w:rPr>
                <w:rFonts w:asciiTheme="minorHAnsi" w:hAnsiTheme="minorHAnsi" w:cs="Arial"/>
                <w:color w:val="000000"/>
                <w:sz w:val="24"/>
                <w:szCs w:val="24"/>
              </w:rPr>
              <w:t>made to secure or expedite a routine government action by a government official whose duties are essentially administrative in nature. The Facilitation Payment is made in order to secure the performance of routine governmental non-discretionary actions to which the payer is legally entitled.</w:t>
            </w:r>
          </w:p>
        </w:tc>
      </w:tr>
      <w:tr w:rsidR="005665E0" w:rsidRPr="005F41F3" w:rsidTr="00CD4D79">
        <w:tc>
          <w:tcPr>
            <w:tcW w:w="1843" w:type="dxa"/>
          </w:tcPr>
          <w:p w:rsidR="005665E0" w:rsidRPr="005F41F3" w:rsidRDefault="005665E0" w:rsidP="00017D3B">
            <w:pPr>
              <w:spacing w:after="120"/>
              <w:rPr>
                <w:rFonts w:asciiTheme="minorHAnsi" w:hAnsiTheme="minorHAnsi" w:cs="Arial"/>
                <w:color w:val="002E63"/>
                <w:sz w:val="24"/>
                <w:szCs w:val="24"/>
                <w:lang w:eastAsia="en-GB"/>
              </w:rPr>
            </w:pPr>
            <w:r w:rsidRPr="005F41F3">
              <w:rPr>
                <w:rFonts w:asciiTheme="minorHAnsi" w:hAnsiTheme="minorHAnsi" w:cs="Arial"/>
                <w:color w:val="000000"/>
                <w:sz w:val="24"/>
                <w:szCs w:val="24"/>
              </w:rPr>
              <w:t>Services</w:t>
            </w:r>
          </w:p>
        </w:tc>
        <w:tc>
          <w:tcPr>
            <w:tcW w:w="6830" w:type="dxa"/>
          </w:tcPr>
          <w:p w:rsidR="005665E0" w:rsidRPr="005F41F3" w:rsidRDefault="005665E0" w:rsidP="00017D3B">
            <w:pPr>
              <w:spacing w:after="120"/>
              <w:rPr>
                <w:rFonts w:asciiTheme="minorHAnsi" w:hAnsiTheme="minorHAnsi" w:cs="Arial"/>
                <w:sz w:val="24"/>
                <w:szCs w:val="24"/>
              </w:rPr>
            </w:pPr>
            <w:r w:rsidRPr="005F41F3">
              <w:rPr>
                <w:rFonts w:asciiTheme="minorHAnsi" w:hAnsiTheme="minorHAnsi" w:cs="Arial"/>
                <w:color w:val="000000"/>
                <w:sz w:val="24"/>
                <w:szCs w:val="24"/>
              </w:rPr>
              <w:t xml:space="preserve">Any intangible activities such as cleaning, consultancy, legal etc. </w:t>
            </w:r>
          </w:p>
        </w:tc>
      </w:tr>
    </w:tbl>
    <w:p w:rsidR="001C7B35" w:rsidRPr="005F41F3" w:rsidRDefault="001C7B35" w:rsidP="001C7B35">
      <w:pPr>
        <w:rPr>
          <w:rFonts w:asciiTheme="minorHAnsi" w:hAnsiTheme="minorHAnsi"/>
          <w:sz w:val="24"/>
          <w:szCs w:val="24"/>
        </w:rPr>
      </w:pPr>
    </w:p>
    <w:p w:rsidR="00A71475" w:rsidRDefault="00A75717" w:rsidP="00E765F9">
      <w:pPr>
        <w:pStyle w:val="CMSNumberHeading1"/>
        <w:tabs>
          <w:tab w:val="clear" w:pos="720"/>
        </w:tabs>
        <w:rPr>
          <w:rFonts w:asciiTheme="minorHAnsi" w:hAnsiTheme="minorHAnsi"/>
          <w:szCs w:val="24"/>
        </w:rPr>
      </w:pPr>
      <w:r w:rsidRPr="00A75717">
        <w:rPr>
          <w:rFonts w:asciiTheme="minorHAnsi" w:hAnsiTheme="minorHAnsi"/>
          <w:szCs w:val="24"/>
        </w:rPr>
        <w:t>Applicable law, Regulations and Codes</w:t>
      </w:r>
    </w:p>
    <w:p w:rsidR="00A71475" w:rsidRDefault="00A75717">
      <w:pPr>
        <w:pStyle w:val="CMSNumberHeading1"/>
        <w:numPr>
          <w:ilvl w:val="0"/>
          <w:numId w:val="0"/>
        </w:numPr>
        <w:tabs>
          <w:tab w:val="clear" w:pos="720"/>
          <w:tab w:val="left" w:pos="0"/>
        </w:tabs>
        <w:rPr>
          <w:rFonts w:asciiTheme="minorHAnsi" w:hAnsiTheme="minorHAnsi"/>
          <w:b w:val="0"/>
          <w:szCs w:val="24"/>
        </w:rPr>
      </w:pPr>
      <w:r w:rsidRPr="00A75717">
        <w:rPr>
          <w:rFonts w:asciiTheme="minorHAnsi" w:hAnsiTheme="minorHAnsi"/>
          <w:b w:val="0"/>
          <w:szCs w:val="24"/>
        </w:rPr>
        <w:t xml:space="preserve">A copy of the applicable laws, regulations and codes </w:t>
      </w:r>
      <w:r w:rsidR="00BA7213">
        <w:rPr>
          <w:rFonts w:asciiTheme="minorHAnsi" w:hAnsiTheme="minorHAnsi"/>
          <w:b w:val="0"/>
          <w:szCs w:val="24"/>
        </w:rPr>
        <w:t>can be obtained from HR</w:t>
      </w:r>
      <w:r w:rsidRPr="00A75717">
        <w:rPr>
          <w:rFonts w:asciiTheme="minorHAnsi" w:hAnsiTheme="minorHAnsi"/>
          <w:b w:val="0"/>
          <w:szCs w:val="24"/>
        </w:rPr>
        <w:t xml:space="preserve"> / risk departments.</w:t>
      </w:r>
    </w:p>
    <w:p w:rsidR="00A71475" w:rsidRDefault="00E37869">
      <w:pPr>
        <w:pStyle w:val="CMSNumberHeading1"/>
        <w:numPr>
          <w:ilvl w:val="0"/>
          <w:numId w:val="0"/>
        </w:numPr>
        <w:tabs>
          <w:tab w:val="clear" w:pos="720"/>
          <w:tab w:val="left" w:pos="0"/>
        </w:tabs>
        <w:rPr>
          <w:rFonts w:asciiTheme="minorHAnsi" w:hAnsiTheme="minorHAnsi"/>
          <w:b w:val="0"/>
          <w:szCs w:val="24"/>
        </w:rPr>
      </w:pPr>
      <w:r w:rsidRPr="00E37869">
        <w:rPr>
          <w:rFonts w:asciiTheme="minorHAnsi" w:hAnsiTheme="minorHAnsi"/>
          <w:b w:val="0"/>
          <w:szCs w:val="24"/>
        </w:rPr>
        <w:t>What follows hereunder is only a brief summary of</w:t>
      </w:r>
      <w:r w:rsidR="00711125">
        <w:rPr>
          <w:rFonts w:asciiTheme="minorHAnsi" w:hAnsiTheme="minorHAnsi"/>
          <w:b w:val="0"/>
          <w:szCs w:val="24"/>
        </w:rPr>
        <w:t xml:space="preserve"> some of</w:t>
      </w:r>
      <w:r w:rsidRPr="00E37869">
        <w:rPr>
          <w:rFonts w:asciiTheme="minorHAnsi" w:hAnsiTheme="minorHAnsi"/>
          <w:b w:val="0"/>
          <w:szCs w:val="24"/>
        </w:rPr>
        <w:t xml:space="preserve"> the provisions contained therein.</w:t>
      </w:r>
    </w:p>
    <w:p w:rsidR="00477F7F" w:rsidRPr="005F41F3" w:rsidRDefault="00E37869" w:rsidP="00477F7F">
      <w:pPr>
        <w:rPr>
          <w:rFonts w:asciiTheme="minorHAnsi" w:hAnsiTheme="minorHAnsi"/>
          <w:b/>
          <w:sz w:val="24"/>
          <w:szCs w:val="24"/>
        </w:rPr>
      </w:pPr>
      <w:r w:rsidRPr="00E37869">
        <w:rPr>
          <w:rFonts w:asciiTheme="minorHAnsi" w:hAnsiTheme="minorHAnsi"/>
          <w:b/>
          <w:sz w:val="24"/>
          <w:szCs w:val="24"/>
        </w:rPr>
        <w:t>Prevention and C</w:t>
      </w:r>
      <w:r w:rsidR="00A75717" w:rsidRPr="00A75717">
        <w:rPr>
          <w:rFonts w:asciiTheme="minorHAnsi" w:hAnsiTheme="minorHAnsi"/>
          <w:b/>
          <w:sz w:val="24"/>
          <w:szCs w:val="24"/>
        </w:rPr>
        <w:t>ombating of Corrupt Activities Act 12 of 2004</w:t>
      </w:r>
    </w:p>
    <w:p w:rsidR="009366F2" w:rsidRPr="009366F2" w:rsidRDefault="00A75717" w:rsidP="009366F2">
      <w:pPr>
        <w:pStyle w:val="lg-section"/>
        <w:shd w:val="clear" w:color="auto" w:fill="FFFFFF"/>
        <w:spacing w:before="300" w:beforeAutospacing="0" w:after="166" w:afterAutospacing="0"/>
        <w:jc w:val="both"/>
        <w:rPr>
          <w:rFonts w:asciiTheme="minorHAnsi" w:hAnsiTheme="minorHAnsi" w:cstheme="minorHAnsi"/>
          <w:color w:val="000000"/>
          <w:szCs w:val="18"/>
        </w:rPr>
      </w:pPr>
      <w:r w:rsidRPr="00A75717">
        <w:rPr>
          <w:rFonts w:asciiTheme="minorHAnsi" w:hAnsiTheme="minorHAnsi" w:cstheme="minorHAnsi"/>
          <w:b/>
          <w:bCs/>
          <w:color w:val="000000"/>
          <w:szCs w:val="18"/>
        </w:rPr>
        <w:lastRenderedPageBreak/>
        <w:t xml:space="preserve">Offences of receiving or offering of unauthorised gratification by or to party to an employment relationship </w:t>
      </w:r>
      <w:r w:rsidRPr="00A75717">
        <w:rPr>
          <w:rFonts w:asciiTheme="minorHAnsi" w:hAnsiTheme="minorHAnsi" w:cstheme="minorHAnsi"/>
          <w:color w:val="000000"/>
          <w:szCs w:val="18"/>
        </w:rPr>
        <w:t>— Any person—</w:t>
      </w:r>
    </w:p>
    <w:p w:rsidR="009366F2" w:rsidRPr="009366F2" w:rsidRDefault="00A75717" w:rsidP="009366F2">
      <w:pPr>
        <w:pStyle w:val="lg-a-1"/>
        <w:shd w:val="clear" w:color="auto" w:fill="FFFFFF"/>
        <w:spacing w:before="0" w:beforeAutospacing="0" w:after="166" w:afterAutospacing="0"/>
        <w:ind w:left="993" w:hanging="313"/>
        <w:jc w:val="both"/>
        <w:rPr>
          <w:rFonts w:asciiTheme="minorHAnsi" w:hAnsiTheme="minorHAnsi" w:cstheme="minorHAnsi"/>
          <w:color w:val="000000"/>
          <w:szCs w:val="18"/>
        </w:rPr>
      </w:pPr>
      <w:r w:rsidRPr="00A75717">
        <w:rPr>
          <w:rFonts w:asciiTheme="minorHAnsi" w:hAnsiTheme="minorHAnsi" w:cstheme="minorHAnsi"/>
          <w:color w:val="000000"/>
          <w:szCs w:val="18"/>
        </w:rPr>
        <w:t>(</w:t>
      </w:r>
      <w:r w:rsidRPr="00A75717">
        <w:rPr>
          <w:rFonts w:asciiTheme="minorHAnsi" w:hAnsiTheme="minorHAnsi" w:cstheme="minorHAnsi"/>
          <w:i/>
          <w:iCs/>
          <w:color w:val="000000"/>
          <w:szCs w:val="18"/>
        </w:rPr>
        <w:t>a</w:t>
      </w:r>
      <w:r w:rsidRPr="00A75717">
        <w:rPr>
          <w:rFonts w:asciiTheme="minorHAnsi" w:hAnsiTheme="minorHAnsi" w:cstheme="minorHAnsi"/>
          <w:color w:val="000000"/>
          <w:szCs w:val="18"/>
        </w:rPr>
        <w:t>) who is party to an employment relationship and who, directly or indirectly, accepts or agrees or offers to accept from any other person any unauthorised gratification, whether for the benefit of that person or for the benefit of another person; or</w:t>
      </w:r>
    </w:p>
    <w:p w:rsidR="009366F2" w:rsidRPr="009366F2" w:rsidRDefault="00A75717" w:rsidP="009366F2">
      <w:pPr>
        <w:pStyle w:val="lg-a-1"/>
        <w:shd w:val="clear" w:color="auto" w:fill="FFFFFF"/>
        <w:spacing w:before="0" w:beforeAutospacing="0" w:after="166" w:afterAutospacing="0"/>
        <w:ind w:left="993" w:hanging="313"/>
        <w:jc w:val="both"/>
        <w:rPr>
          <w:rFonts w:asciiTheme="minorHAnsi" w:hAnsiTheme="minorHAnsi" w:cstheme="minorHAnsi"/>
          <w:color w:val="000000"/>
          <w:szCs w:val="18"/>
        </w:rPr>
      </w:pPr>
      <w:r w:rsidRPr="00A75717">
        <w:rPr>
          <w:rFonts w:asciiTheme="minorHAnsi" w:hAnsiTheme="minorHAnsi" w:cstheme="minorHAnsi"/>
          <w:color w:val="000000"/>
          <w:szCs w:val="18"/>
        </w:rPr>
        <w:t>(</w:t>
      </w:r>
      <w:r w:rsidRPr="00A75717">
        <w:rPr>
          <w:rFonts w:asciiTheme="minorHAnsi" w:hAnsiTheme="minorHAnsi" w:cstheme="minorHAnsi"/>
          <w:i/>
          <w:iCs/>
          <w:color w:val="000000"/>
          <w:szCs w:val="18"/>
        </w:rPr>
        <w:t>b</w:t>
      </w:r>
      <w:r w:rsidRPr="00A75717">
        <w:rPr>
          <w:rFonts w:asciiTheme="minorHAnsi" w:hAnsiTheme="minorHAnsi" w:cstheme="minorHAnsi"/>
          <w:color w:val="000000"/>
          <w:szCs w:val="18"/>
        </w:rPr>
        <w:t>) who, directly or indirectly, gives or agrees or offers to give to any person who is party to an employment relationship any unauthorised gratification, whether for the benefit of that party or for the benefit of another person,</w:t>
      </w:r>
    </w:p>
    <w:p w:rsidR="009366F2" w:rsidRDefault="00A75717" w:rsidP="009366F2">
      <w:pPr>
        <w:pStyle w:val="normal-text"/>
        <w:shd w:val="clear" w:color="auto" w:fill="FFFFFF"/>
        <w:spacing w:before="120" w:beforeAutospacing="0" w:after="166" w:afterAutospacing="0"/>
        <w:jc w:val="both"/>
        <w:rPr>
          <w:rFonts w:ascii="Verdana" w:hAnsi="Verdana"/>
          <w:color w:val="000000"/>
          <w:sz w:val="18"/>
          <w:szCs w:val="18"/>
        </w:rPr>
      </w:pPr>
      <w:r w:rsidRPr="00A75717">
        <w:rPr>
          <w:rFonts w:asciiTheme="minorHAnsi" w:hAnsiTheme="minorHAnsi" w:cstheme="minorHAnsi"/>
          <w:color w:val="000000"/>
          <w:szCs w:val="18"/>
        </w:rPr>
        <w:t>in respect of that party doing any act in relation to the exercise, carrying out or performance of that party’s powers, duties or functions within the scope of that party’s employment relationship, is guilty of the offence of receiving or offering an unauthorised gratification</w:t>
      </w:r>
      <w:r w:rsidR="009366F2">
        <w:rPr>
          <w:rFonts w:ascii="Verdana" w:hAnsi="Verdana"/>
          <w:color w:val="000000"/>
          <w:sz w:val="18"/>
          <w:szCs w:val="18"/>
        </w:rPr>
        <w:t>.</w:t>
      </w:r>
    </w:p>
    <w:p w:rsidR="00A71475" w:rsidRDefault="00C07857">
      <w:pPr>
        <w:pStyle w:val="CMSNumberHeading1"/>
        <w:rPr>
          <w:rFonts w:asciiTheme="minorHAnsi" w:hAnsiTheme="minorHAnsi"/>
          <w:szCs w:val="24"/>
        </w:rPr>
      </w:pPr>
      <w:r>
        <w:rPr>
          <w:rFonts w:asciiTheme="minorHAnsi" w:hAnsiTheme="minorHAnsi"/>
          <w:szCs w:val="24"/>
        </w:rPr>
        <w:t xml:space="preserve">    </w:t>
      </w:r>
      <w:r w:rsidR="009C75F7">
        <w:rPr>
          <w:rFonts w:asciiTheme="minorHAnsi" w:hAnsiTheme="minorHAnsi"/>
          <w:szCs w:val="24"/>
        </w:rPr>
        <w:t>Policy Statements</w:t>
      </w:r>
      <w:r w:rsidR="00E765F9">
        <w:rPr>
          <w:rFonts w:asciiTheme="minorHAnsi" w:hAnsiTheme="minorHAnsi"/>
          <w:szCs w:val="24"/>
        </w:rPr>
        <w:t xml:space="preserve"> and </w:t>
      </w:r>
      <w:r w:rsidR="00A75717" w:rsidRPr="00A75717">
        <w:rPr>
          <w:rFonts w:asciiTheme="minorHAnsi" w:hAnsiTheme="minorHAnsi"/>
          <w:szCs w:val="24"/>
        </w:rPr>
        <w:t>Workplace Rules</w:t>
      </w:r>
      <w:r w:rsidR="00611978">
        <w:rPr>
          <w:rFonts w:asciiTheme="minorHAnsi" w:hAnsiTheme="minorHAnsi"/>
          <w:szCs w:val="24"/>
        </w:rPr>
        <w:t xml:space="preserve"> </w:t>
      </w:r>
    </w:p>
    <w:p w:rsidR="00A71475" w:rsidRDefault="009366F2">
      <w:pPr>
        <w:pStyle w:val="CMSNumberHeading1"/>
        <w:numPr>
          <w:ilvl w:val="0"/>
          <w:numId w:val="0"/>
        </w:numPr>
        <w:tabs>
          <w:tab w:val="clear" w:pos="720"/>
          <w:tab w:val="left" w:pos="0"/>
        </w:tabs>
        <w:rPr>
          <w:rFonts w:asciiTheme="minorHAnsi" w:hAnsiTheme="minorHAnsi"/>
          <w:b w:val="0"/>
          <w:szCs w:val="24"/>
        </w:rPr>
      </w:pPr>
      <w:r>
        <w:rPr>
          <w:rFonts w:asciiTheme="minorHAnsi" w:hAnsiTheme="minorHAnsi"/>
          <w:b w:val="0"/>
          <w:szCs w:val="24"/>
        </w:rPr>
        <w:t xml:space="preserve">It is unlawful and </w:t>
      </w:r>
      <w:r w:rsidR="00611978">
        <w:rPr>
          <w:rFonts w:asciiTheme="minorHAnsi" w:hAnsiTheme="minorHAnsi"/>
          <w:b w:val="0"/>
          <w:szCs w:val="24"/>
        </w:rPr>
        <w:t>a criminal offence for an Employee to solicit; receive;</w:t>
      </w:r>
      <w:r>
        <w:rPr>
          <w:rFonts w:asciiTheme="minorHAnsi" w:hAnsiTheme="minorHAnsi"/>
          <w:b w:val="0"/>
          <w:szCs w:val="24"/>
        </w:rPr>
        <w:t xml:space="preserve"> accept or offer to accept </w:t>
      </w:r>
      <w:r w:rsidR="00611978">
        <w:rPr>
          <w:rFonts w:asciiTheme="minorHAnsi" w:hAnsiTheme="minorHAnsi"/>
          <w:b w:val="0"/>
          <w:szCs w:val="24"/>
        </w:rPr>
        <w:t xml:space="preserve">a Facilitation Payment. </w:t>
      </w:r>
    </w:p>
    <w:p w:rsidR="00A71475" w:rsidRDefault="00A75717">
      <w:pPr>
        <w:pStyle w:val="CMSNumberHeading1"/>
        <w:numPr>
          <w:ilvl w:val="0"/>
          <w:numId w:val="0"/>
        </w:numPr>
        <w:tabs>
          <w:tab w:val="clear" w:pos="720"/>
          <w:tab w:val="left" w:pos="0"/>
        </w:tabs>
        <w:rPr>
          <w:rFonts w:asciiTheme="minorHAnsi" w:hAnsiTheme="minorHAnsi"/>
          <w:b w:val="0"/>
          <w:szCs w:val="24"/>
        </w:rPr>
      </w:pPr>
      <w:r w:rsidRPr="00A75717">
        <w:rPr>
          <w:rFonts w:asciiTheme="minorHAnsi" w:hAnsiTheme="minorHAnsi"/>
          <w:b w:val="0"/>
          <w:szCs w:val="24"/>
        </w:rPr>
        <w:t>Facilitation payments should not be accepted or made; it is simply another form of bribery.</w:t>
      </w:r>
    </w:p>
    <w:p w:rsidR="00A71475" w:rsidRDefault="00A75717" w:rsidP="009C75F7">
      <w:pPr>
        <w:rPr>
          <w:rFonts w:asciiTheme="minorHAnsi" w:hAnsiTheme="minorHAnsi"/>
          <w:szCs w:val="24"/>
        </w:rPr>
      </w:pPr>
      <w:r w:rsidRPr="00A75717">
        <w:rPr>
          <w:rFonts w:asciiTheme="minorHAnsi" w:hAnsiTheme="minorHAnsi"/>
          <w:sz w:val="24"/>
          <w:szCs w:val="24"/>
        </w:rPr>
        <w:t xml:space="preserve">If you make or accept a payment which could possibly be misunderstood as a </w:t>
      </w:r>
      <w:r w:rsidR="00611978">
        <w:rPr>
          <w:rFonts w:asciiTheme="minorHAnsi" w:hAnsiTheme="minorHAnsi"/>
          <w:sz w:val="24"/>
          <w:szCs w:val="24"/>
        </w:rPr>
        <w:t>F</w:t>
      </w:r>
      <w:r w:rsidRPr="00A75717">
        <w:rPr>
          <w:rFonts w:asciiTheme="minorHAnsi" w:hAnsiTheme="minorHAnsi"/>
          <w:sz w:val="24"/>
          <w:szCs w:val="24"/>
        </w:rPr>
        <w:t xml:space="preserve">acilitation </w:t>
      </w:r>
      <w:r w:rsidR="00611978">
        <w:rPr>
          <w:rFonts w:asciiTheme="minorHAnsi" w:hAnsiTheme="minorHAnsi"/>
          <w:sz w:val="24"/>
          <w:szCs w:val="24"/>
        </w:rPr>
        <w:t>P</w:t>
      </w:r>
      <w:r w:rsidRPr="00A75717">
        <w:rPr>
          <w:rFonts w:asciiTheme="minorHAnsi" w:hAnsiTheme="minorHAnsi"/>
          <w:sz w:val="24"/>
          <w:szCs w:val="24"/>
        </w:rPr>
        <w:t>ayment, you should notify your line manager</w:t>
      </w:r>
      <w:r w:rsidR="00611978">
        <w:rPr>
          <w:rFonts w:asciiTheme="minorHAnsi" w:hAnsiTheme="minorHAnsi"/>
          <w:sz w:val="24"/>
          <w:szCs w:val="24"/>
        </w:rPr>
        <w:t xml:space="preserve"> immediately.</w:t>
      </w:r>
    </w:p>
    <w:p w:rsidR="005F41F3" w:rsidRPr="005F41F3" w:rsidRDefault="00A75717" w:rsidP="005F41F3">
      <w:pPr>
        <w:rPr>
          <w:rFonts w:asciiTheme="minorHAnsi" w:hAnsiTheme="minorHAnsi"/>
          <w:sz w:val="24"/>
          <w:szCs w:val="24"/>
        </w:rPr>
      </w:pPr>
      <w:r w:rsidRPr="00A75717">
        <w:rPr>
          <w:rFonts w:asciiTheme="minorHAnsi" w:hAnsiTheme="minorHAnsi"/>
          <w:sz w:val="24"/>
          <w:szCs w:val="24"/>
        </w:rPr>
        <w:t xml:space="preserve">The difference between a </w:t>
      </w:r>
      <w:r w:rsidR="00611978">
        <w:rPr>
          <w:rFonts w:asciiTheme="minorHAnsi" w:hAnsiTheme="minorHAnsi"/>
          <w:sz w:val="24"/>
          <w:szCs w:val="24"/>
        </w:rPr>
        <w:t>F</w:t>
      </w:r>
      <w:r w:rsidRPr="00A75717">
        <w:rPr>
          <w:rFonts w:asciiTheme="minorHAnsi" w:hAnsiTheme="minorHAnsi"/>
          <w:sz w:val="24"/>
          <w:szCs w:val="24"/>
        </w:rPr>
        <w:t xml:space="preserve">acilitation </w:t>
      </w:r>
      <w:r w:rsidR="00611978">
        <w:rPr>
          <w:rFonts w:asciiTheme="minorHAnsi" w:hAnsiTheme="minorHAnsi"/>
          <w:sz w:val="24"/>
          <w:szCs w:val="24"/>
        </w:rPr>
        <w:t>P</w:t>
      </w:r>
      <w:r w:rsidRPr="00A75717">
        <w:rPr>
          <w:rFonts w:asciiTheme="minorHAnsi" w:hAnsiTheme="minorHAnsi"/>
          <w:sz w:val="24"/>
          <w:szCs w:val="24"/>
        </w:rPr>
        <w:t xml:space="preserve">ayment and paying for a legitimate service is that the legitimate service will be advertised at a set tariff which is the same for everyone, and be paid for transparently to a department and a receipt provided. The </w:t>
      </w:r>
      <w:r w:rsidR="00611978">
        <w:rPr>
          <w:rFonts w:asciiTheme="minorHAnsi" w:hAnsiTheme="minorHAnsi"/>
          <w:sz w:val="24"/>
          <w:szCs w:val="24"/>
        </w:rPr>
        <w:t>F</w:t>
      </w:r>
      <w:r w:rsidRPr="00A75717">
        <w:rPr>
          <w:rFonts w:asciiTheme="minorHAnsi" w:hAnsiTheme="minorHAnsi"/>
          <w:sz w:val="24"/>
          <w:szCs w:val="24"/>
        </w:rPr>
        <w:t xml:space="preserve">acilitation </w:t>
      </w:r>
      <w:r w:rsidR="00611978">
        <w:rPr>
          <w:rFonts w:asciiTheme="minorHAnsi" w:hAnsiTheme="minorHAnsi"/>
          <w:sz w:val="24"/>
          <w:szCs w:val="24"/>
        </w:rPr>
        <w:t>P</w:t>
      </w:r>
      <w:r w:rsidRPr="00A75717">
        <w:rPr>
          <w:rFonts w:asciiTheme="minorHAnsi" w:hAnsiTheme="minorHAnsi"/>
          <w:sz w:val="24"/>
          <w:szCs w:val="24"/>
        </w:rPr>
        <w:t xml:space="preserve">ayment will be given to an individual and hidden. No receipts will be given. </w:t>
      </w:r>
    </w:p>
    <w:p w:rsidR="005F41F3" w:rsidRPr="005F41F3" w:rsidRDefault="00A75717" w:rsidP="005F41F3">
      <w:pPr>
        <w:rPr>
          <w:rFonts w:asciiTheme="minorHAnsi" w:hAnsiTheme="minorHAnsi"/>
          <w:sz w:val="24"/>
          <w:szCs w:val="24"/>
        </w:rPr>
      </w:pPr>
      <w:r w:rsidRPr="00A75717">
        <w:rPr>
          <w:rFonts w:asciiTheme="minorHAnsi" w:hAnsiTheme="minorHAnsi"/>
          <w:sz w:val="24"/>
          <w:szCs w:val="24"/>
        </w:rPr>
        <w:t xml:space="preserve">When you encounter a situation that is or may be a request, or an offer, for a </w:t>
      </w:r>
      <w:r w:rsidR="00611978">
        <w:rPr>
          <w:rFonts w:asciiTheme="minorHAnsi" w:hAnsiTheme="minorHAnsi"/>
          <w:sz w:val="24"/>
          <w:szCs w:val="24"/>
        </w:rPr>
        <w:t>F</w:t>
      </w:r>
      <w:r w:rsidRPr="00A75717">
        <w:rPr>
          <w:rFonts w:asciiTheme="minorHAnsi" w:hAnsiTheme="minorHAnsi"/>
          <w:sz w:val="24"/>
          <w:szCs w:val="24"/>
        </w:rPr>
        <w:t xml:space="preserve">acilitation </w:t>
      </w:r>
      <w:r w:rsidR="00611978">
        <w:rPr>
          <w:rFonts w:asciiTheme="minorHAnsi" w:hAnsiTheme="minorHAnsi"/>
          <w:sz w:val="24"/>
          <w:szCs w:val="24"/>
        </w:rPr>
        <w:t>P</w:t>
      </w:r>
      <w:r w:rsidRPr="00A75717">
        <w:rPr>
          <w:rFonts w:asciiTheme="minorHAnsi" w:hAnsiTheme="minorHAnsi"/>
          <w:sz w:val="24"/>
          <w:szCs w:val="24"/>
        </w:rPr>
        <w:t>ayment, you should immediately report this to your line manager. Such practical problems do arise in everyday business, but can usually be resolved in other ways.</w:t>
      </w:r>
      <w:r w:rsidR="00611978">
        <w:rPr>
          <w:rFonts w:asciiTheme="minorHAnsi" w:hAnsiTheme="minorHAnsi"/>
          <w:sz w:val="24"/>
          <w:szCs w:val="24"/>
        </w:rPr>
        <w:t xml:space="preserve"> </w:t>
      </w:r>
    </w:p>
    <w:p w:rsidR="005F41F3" w:rsidRPr="005F41F3" w:rsidRDefault="00A75717" w:rsidP="005F41F3">
      <w:pPr>
        <w:rPr>
          <w:rFonts w:asciiTheme="minorHAnsi" w:hAnsiTheme="minorHAnsi"/>
          <w:sz w:val="24"/>
          <w:szCs w:val="24"/>
        </w:rPr>
      </w:pPr>
      <w:r w:rsidRPr="00A75717">
        <w:rPr>
          <w:rFonts w:asciiTheme="minorHAnsi" w:hAnsiTheme="minorHAnsi"/>
          <w:sz w:val="24"/>
          <w:szCs w:val="24"/>
        </w:rPr>
        <w:lastRenderedPageBreak/>
        <w:t xml:space="preserve">Never attempt to disguise a </w:t>
      </w:r>
      <w:r w:rsidR="00611978">
        <w:rPr>
          <w:rFonts w:asciiTheme="minorHAnsi" w:hAnsiTheme="minorHAnsi"/>
          <w:sz w:val="24"/>
          <w:szCs w:val="24"/>
        </w:rPr>
        <w:t>F</w:t>
      </w:r>
      <w:r w:rsidRPr="00A75717">
        <w:rPr>
          <w:rFonts w:asciiTheme="minorHAnsi" w:hAnsiTheme="minorHAnsi"/>
          <w:sz w:val="24"/>
          <w:szCs w:val="24"/>
        </w:rPr>
        <w:t xml:space="preserve">acilitation </w:t>
      </w:r>
      <w:r w:rsidR="00611978">
        <w:rPr>
          <w:rFonts w:asciiTheme="minorHAnsi" w:hAnsiTheme="minorHAnsi"/>
          <w:sz w:val="24"/>
          <w:szCs w:val="24"/>
        </w:rPr>
        <w:t>P</w:t>
      </w:r>
      <w:r w:rsidRPr="00A75717">
        <w:rPr>
          <w:rFonts w:asciiTheme="minorHAnsi" w:hAnsiTheme="minorHAnsi"/>
          <w:sz w:val="24"/>
          <w:szCs w:val="24"/>
        </w:rPr>
        <w:t xml:space="preserve">ayment as something else or conceal it. Approval to </w:t>
      </w:r>
      <w:r w:rsidR="00611978">
        <w:rPr>
          <w:rFonts w:asciiTheme="minorHAnsi" w:hAnsiTheme="minorHAnsi"/>
          <w:sz w:val="24"/>
          <w:szCs w:val="24"/>
        </w:rPr>
        <w:t>make or receive F</w:t>
      </w:r>
      <w:r w:rsidRPr="00A75717">
        <w:rPr>
          <w:rFonts w:asciiTheme="minorHAnsi" w:hAnsiTheme="minorHAnsi"/>
          <w:sz w:val="24"/>
          <w:szCs w:val="24"/>
        </w:rPr>
        <w:t xml:space="preserve">acilitation </w:t>
      </w:r>
      <w:r w:rsidR="00611978">
        <w:rPr>
          <w:rFonts w:asciiTheme="minorHAnsi" w:hAnsiTheme="minorHAnsi"/>
          <w:sz w:val="24"/>
          <w:szCs w:val="24"/>
        </w:rPr>
        <w:t>P</w:t>
      </w:r>
      <w:r w:rsidRPr="00A75717">
        <w:rPr>
          <w:rFonts w:asciiTheme="minorHAnsi" w:hAnsiTheme="minorHAnsi"/>
          <w:sz w:val="24"/>
          <w:szCs w:val="24"/>
        </w:rPr>
        <w:t>ayments will not be given.</w:t>
      </w:r>
    </w:p>
    <w:p w:rsidR="005F41F3" w:rsidRDefault="00A75717" w:rsidP="005F41F3">
      <w:pPr>
        <w:rPr>
          <w:rFonts w:asciiTheme="minorHAnsi" w:hAnsiTheme="minorHAnsi"/>
          <w:sz w:val="24"/>
          <w:szCs w:val="24"/>
        </w:rPr>
      </w:pPr>
      <w:r w:rsidRPr="00A75717">
        <w:rPr>
          <w:rFonts w:asciiTheme="minorHAnsi" w:hAnsiTheme="minorHAnsi"/>
          <w:sz w:val="24"/>
          <w:szCs w:val="24"/>
        </w:rPr>
        <w:t>If payments are demanded or offered under duress, you should not compromise your safety and security or that of your colleagues. Employees should immediately report any incidents of this nature to their line manager.</w:t>
      </w:r>
    </w:p>
    <w:p w:rsidR="005F41F3" w:rsidRDefault="005F41F3" w:rsidP="005F41F3">
      <w:pPr>
        <w:rPr>
          <w:rFonts w:asciiTheme="minorHAnsi" w:hAnsiTheme="minorHAnsi"/>
          <w:sz w:val="24"/>
          <w:szCs w:val="24"/>
        </w:rPr>
      </w:pPr>
      <w:r w:rsidRPr="005F41F3">
        <w:rPr>
          <w:rFonts w:asciiTheme="minorHAnsi" w:hAnsiTheme="minorHAnsi"/>
          <w:sz w:val="24"/>
          <w:szCs w:val="24"/>
        </w:rPr>
        <w:t xml:space="preserve">Facilitation </w:t>
      </w:r>
      <w:r w:rsidR="00611978">
        <w:rPr>
          <w:rFonts w:asciiTheme="minorHAnsi" w:hAnsiTheme="minorHAnsi"/>
          <w:sz w:val="24"/>
          <w:szCs w:val="24"/>
        </w:rPr>
        <w:t>P</w:t>
      </w:r>
      <w:r w:rsidRPr="005F41F3">
        <w:rPr>
          <w:rFonts w:asciiTheme="minorHAnsi" w:hAnsiTheme="minorHAnsi"/>
          <w:sz w:val="24"/>
          <w:szCs w:val="24"/>
        </w:rPr>
        <w:t>ayments to a lower level government official as a personal benefit to them to secure or speed up the performance of a routine action to which the payer i</w:t>
      </w:r>
      <w:r>
        <w:rPr>
          <w:rFonts w:asciiTheme="minorHAnsi" w:hAnsiTheme="minorHAnsi"/>
          <w:sz w:val="24"/>
          <w:szCs w:val="24"/>
        </w:rPr>
        <w:t>s entitled are an issue as it may open the door to more serious forms of corruption.</w:t>
      </w:r>
    </w:p>
    <w:p w:rsidR="00C07857" w:rsidRPr="0034279B" w:rsidRDefault="00C07857" w:rsidP="00C07857">
      <w:pPr>
        <w:pStyle w:val="CMSNumberHeading1"/>
        <w:rPr>
          <w:rFonts w:ascii="Calibri" w:hAnsi="Calibri"/>
          <w:szCs w:val="24"/>
          <w:lang w:eastAsia="en-ZA"/>
        </w:rPr>
      </w:pPr>
      <w:r w:rsidRPr="0034279B">
        <w:rPr>
          <w:rFonts w:ascii="Calibri" w:hAnsi="Calibri"/>
          <w:szCs w:val="24"/>
          <w:lang w:eastAsia="en-ZA"/>
        </w:rPr>
        <w:t>Communication</w:t>
      </w:r>
    </w:p>
    <w:p w:rsidR="00A71475" w:rsidRDefault="00C07857">
      <w:pPr>
        <w:autoSpaceDE w:val="0"/>
        <w:autoSpaceDN w:val="0"/>
        <w:adjustRightInd w:val="0"/>
        <w:spacing w:before="0" w:after="0" w:line="240" w:lineRule="auto"/>
        <w:rPr>
          <w:rFonts w:ascii="Calibri" w:hAnsi="Calibri"/>
          <w:sz w:val="24"/>
          <w:szCs w:val="24"/>
          <w:lang w:eastAsia="en-ZA"/>
        </w:rPr>
      </w:pPr>
      <w:r w:rsidRPr="0034279B">
        <w:rPr>
          <w:rFonts w:ascii="Calibri" w:hAnsi="Calibri"/>
          <w:sz w:val="24"/>
          <w:szCs w:val="24"/>
          <w:lang w:eastAsia="en-ZA"/>
        </w:rPr>
        <w:t xml:space="preserve">This </w:t>
      </w:r>
      <w:r w:rsidR="009C75F7">
        <w:rPr>
          <w:rFonts w:ascii="Calibri" w:hAnsi="Calibri"/>
          <w:sz w:val="24"/>
          <w:szCs w:val="24"/>
          <w:lang w:eastAsia="en-ZA"/>
        </w:rPr>
        <w:t>Policy Statement</w:t>
      </w:r>
      <w:r w:rsidRPr="0034279B">
        <w:rPr>
          <w:rFonts w:ascii="Calibri" w:hAnsi="Calibri"/>
          <w:sz w:val="24"/>
          <w:szCs w:val="24"/>
          <w:lang w:eastAsia="en-ZA"/>
        </w:rPr>
        <w:t xml:space="preserve"> will be communicated to all Municipal employees using the full range of communication met</w:t>
      </w:r>
      <w:r w:rsidR="009D6131">
        <w:rPr>
          <w:rFonts w:ascii="Calibri" w:hAnsi="Calibri"/>
          <w:sz w:val="24"/>
          <w:szCs w:val="24"/>
          <w:lang w:eastAsia="en-ZA"/>
        </w:rPr>
        <w:t>hod</w:t>
      </w:r>
      <w:r w:rsidRPr="0034279B">
        <w:rPr>
          <w:rFonts w:ascii="Calibri" w:hAnsi="Calibri"/>
          <w:sz w:val="24"/>
          <w:szCs w:val="24"/>
          <w:lang w:eastAsia="en-ZA"/>
        </w:rPr>
        <w:t xml:space="preserve"> available to the municipality.</w:t>
      </w:r>
    </w:p>
    <w:p w:rsidR="00A71475" w:rsidRDefault="00A75717" w:rsidP="00E765F9">
      <w:pPr>
        <w:pStyle w:val="CMSNumberHeading1"/>
        <w:tabs>
          <w:tab w:val="clear" w:pos="720"/>
        </w:tabs>
        <w:rPr>
          <w:rFonts w:asciiTheme="minorHAnsi" w:eastAsia="Times New Roman" w:hAnsiTheme="minorHAnsi"/>
        </w:rPr>
      </w:pPr>
      <w:r w:rsidRPr="00A75717">
        <w:rPr>
          <w:rFonts w:asciiTheme="minorHAnsi" w:eastAsia="Times New Roman" w:hAnsiTheme="minorHAnsi"/>
        </w:rPr>
        <w:t>Contravention</w:t>
      </w:r>
    </w:p>
    <w:p w:rsidR="004520EA" w:rsidRPr="0034279B" w:rsidRDefault="004520EA" w:rsidP="004520EA">
      <w:pPr>
        <w:pStyle w:val="CMSNumberHeading1"/>
        <w:numPr>
          <w:ilvl w:val="0"/>
          <w:numId w:val="0"/>
        </w:numPr>
        <w:tabs>
          <w:tab w:val="clear" w:pos="720"/>
          <w:tab w:val="left" w:pos="0"/>
        </w:tabs>
        <w:rPr>
          <w:rFonts w:ascii="Calibri" w:hAnsi="Calibri"/>
          <w:b w:val="0"/>
          <w:szCs w:val="24"/>
        </w:rPr>
      </w:pPr>
      <w:r w:rsidRPr="0034279B">
        <w:rPr>
          <w:rFonts w:ascii="Calibri" w:hAnsi="Calibri"/>
          <w:b w:val="0"/>
          <w:szCs w:val="24"/>
        </w:rPr>
        <w:t xml:space="preserve">Compliance with this </w:t>
      </w:r>
      <w:r w:rsidR="009C75F7">
        <w:rPr>
          <w:rFonts w:ascii="Calibri" w:hAnsi="Calibri"/>
          <w:b w:val="0"/>
          <w:szCs w:val="24"/>
        </w:rPr>
        <w:t>Policy Statement</w:t>
      </w:r>
      <w:r w:rsidRPr="0034279B">
        <w:rPr>
          <w:rFonts w:ascii="Calibri" w:hAnsi="Calibri"/>
          <w:b w:val="0"/>
          <w:szCs w:val="24"/>
        </w:rPr>
        <w:t xml:space="preserve"> is mandatory for all Employees of </w:t>
      </w:r>
      <w:r w:rsidR="00017D3B">
        <w:rPr>
          <w:rFonts w:ascii="Calibri" w:hAnsi="Calibri"/>
          <w:b w:val="0"/>
          <w:szCs w:val="24"/>
        </w:rPr>
        <w:t>MLM</w:t>
      </w:r>
      <w:r w:rsidRPr="0034279B">
        <w:rPr>
          <w:rFonts w:ascii="Calibri" w:hAnsi="Calibri"/>
          <w:b w:val="0"/>
          <w:szCs w:val="24"/>
        </w:rPr>
        <w:t xml:space="preserve">. Non-compliance and/or breach of this </w:t>
      </w:r>
      <w:r w:rsidR="009C75F7">
        <w:rPr>
          <w:rFonts w:ascii="Calibri" w:hAnsi="Calibri"/>
          <w:b w:val="0"/>
          <w:szCs w:val="24"/>
        </w:rPr>
        <w:t>Policy Statement</w:t>
      </w:r>
      <w:r w:rsidRPr="0034279B">
        <w:rPr>
          <w:rFonts w:ascii="Calibri" w:hAnsi="Calibri"/>
          <w:b w:val="0"/>
          <w:szCs w:val="24"/>
        </w:rPr>
        <w:t xml:space="preserve"> will be viewed as serious misconduct which can result in disciplinary action that may include the termination of employment. </w:t>
      </w:r>
    </w:p>
    <w:p w:rsidR="00A71475" w:rsidRDefault="00C07857">
      <w:pPr>
        <w:rPr>
          <w:rFonts w:asciiTheme="minorHAnsi" w:hAnsiTheme="minorHAnsi"/>
          <w:sz w:val="24"/>
          <w:szCs w:val="24"/>
        </w:rPr>
      </w:pPr>
      <w:r w:rsidRPr="00585256">
        <w:rPr>
          <w:rFonts w:asciiTheme="minorHAnsi" w:hAnsiTheme="minorHAnsi"/>
          <w:sz w:val="24"/>
          <w:szCs w:val="24"/>
        </w:rPr>
        <w:t xml:space="preserve">A contravention of this </w:t>
      </w:r>
      <w:r w:rsidR="009C75F7">
        <w:rPr>
          <w:rFonts w:asciiTheme="minorHAnsi" w:hAnsiTheme="minorHAnsi"/>
          <w:sz w:val="24"/>
          <w:szCs w:val="24"/>
        </w:rPr>
        <w:t>Policy Statement</w:t>
      </w:r>
      <w:r w:rsidRPr="00585256">
        <w:rPr>
          <w:rFonts w:asciiTheme="minorHAnsi" w:hAnsiTheme="minorHAnsi"/>
          <w:sz w:val="24"/>
          <w:szCs w:val="24"/>
        </w:rPr>
        <w:t xml:space="preserve"> may also amount to a criminal offence.  Section 10 of PRECCA states that it is a criminal offence to accept ‘unauthorized gratification’ for anything you do relating to your workplace. </w:t>
      </w:r>
    </w:p>
    <w:p w:rsidR="00A71475" w:rsidRDefault="00A75717" w:rsidP="00E765F9">
      <w:pPr>
        <w:pStyle w:val="CMSNumberHeading1"/>
        <w:tabs>
          <w:tab w:val="clear" w:pos="720"/>
        </w:tabs>
        <w:rPr>
          <w:rFonts w:asciiTheme="minorHAnsi" w:eastAsia="Times New Roman" w:hAnsiTheme="minorHAnsi"/>
        </w:rPr>
      </w:pPr>
      <w:r w:rsidRPr="00A75717">
        <w:rPr>
          <w:rFonts w:asciiTheme="minorHAnsi" w:eastAsia="Times New Roman" w:hAnsiTheme="minorHAnsi"/>
        </w:rPr>
        <w:lastRenderedPageBreak/>
        <w:t>Reporting</w:t>
      </w:r>
    </w:p>
    <w:p w:rsidR="009D6131" w:rsidRDefault="009C75F7" w:rsidP="000B4738">
      <w:pPr>
        <w:pStyle w:val="CMSNumberHeading2"/>
        <w:numPr>
          <w:ilvl w:val="0"/>
          <w:numId w:val="0"/>
        </w:numPr>
        <w:rPr>
          <w:rStyle w:val="Hyperlink"/>
          <w:rFonts w:ascii="Calibri" w:hAnsi="Calibri"/>
          <w:b w:val="0"/>
          <w:szCs w:val="24"/>
          <w:lang w:val="en-US"/>
        </w:rPr>
      </w:pPr>
      <w:r w:rsidRPr="00585256">
        <w:rPr>
          <w:rFonts w:ascii="Calibri" w:hAnsi="Calibri"/>
          <w:b w:val="0"/>
          <w:szCs w:val="24"/>
        </w:rPr>
        <w:t xml:space="preserve">Every Employee has a duty to report all suspected incidents of a breach of this </w:t>
      </w:r>
      <w:r>
        <w:rPr>
          <w:rFonts w:ascii="Calibri" w:hAnsi="Calibri"/>
          <w:b w:val="0"/>
          <w:szCs w:val="24"/>
        </w:rPr>
        <w:t>Policy Statement</w:t>
      </w:r>
      <w:r w:rsidRPr="00585256">
        <w:rPr>
          <w:rFonts w:ascii="Calibri" w:hAnsi="Calibri"/>
          <w:b w:val="0"/>
          <w:szCs w:val="24"/>
        </w:rPr>
        <w:t xml:space="preserve"> to the </w:t>
      </w:r>
      <w:r>
        <w:rPr>
          <w:rFonts w:ascii="Calibri" w:hAnsi="Calibri"/>
          <w:b w:val="0"/>
          <w:szCs w:val="24"/>
          <w:lang w:val="en-US"/>
        </w:rPr>
        <w:t>Office of the Chief Risk Officer</w:t>
      </w:r>
      <w:r w:rsidRPr="00585256">
        <w:rPr>
          <w:rFonts w:ascii="Calibri" w:hAnsi="Calibri"/>
          <w:b w:val="0"/>
          <w:szCs w:val="24"/>
        </w:rPr>
        <w:t>. If an Employee wishes to remain anonymous, the Emplo</w:t>
      </w:r>
      <w:r w:rsidR="001372EB">
        <w:rPr>
          <w:rFonts w:ascii="Calibri" w:hAnsi="Calibri"/>
          <w:b w:val="0"/>
          <w:szCs w:val="24"/>
        </w:rPr>
        <w:t>yee may call the Fraud Hotline</w:t>
      </w:r>
      <w:r>
        <w:rPr>
          <w:rFonts w:ascii="Calibri" w:hAnsi="Calibri"/>
          <w:b w:val="0"/>
          <w:szCs w:val="24"/>
          <w:lang w:val="en-US"/>
        </w:rPr>
        <w:t>.  All que</w:t>
      </w:r>
      <w:bookmarkStart w:id="0" w:name="_GoBack"/>
      <w:bookmarkEnd w:id="0"/>
      <w:r>
        <w:rPr>
          <w:rFonts w:ascii="Calibri" w:hAnsi="Calibri"/>
          <w:b w:val="0"/>
          <w:szCs w:val="24"/>
          <w:lang w:val="en-US"/>
        </w:rPr>
        <w:t xml:space="preserve">ries can be submitted to the Ethics Office on </w:t>
      </w:r>
      <w:hyperlink r:id="rId12" w:history="1">
        <w:r w:rsidR="0079129D" w:rsidRPr="00632D4A">
          <w:rPr>
            <w:rStyle w:val="Hyperlink"/>
            <w:rFonts w:ascii="Calibri" w:hAnsi="Calibri"/>
            <w:b w:val="0"/>
            <w:szCs w:val="24"/>
            <w:lang w:val="en-US"/>
          </w:rPr>
          <w:t>ethics@madibeng.gov.za</w:t>
        </w:r>
      </w:hyperlink>
    </w:p>
    <w:p w:rsidR="00A344F1" w:rsidRPr="00A344F1" w:rsidRDefault="009C75F7" w:rsidP="000B4738">
      <w:pPr>
        <w:pStyle w:val="CMSNumberHeading2"/>
        <w:numPr>
          <w:ilvl w:val="0"/>
          <w:numId w:val="0"/>
        </w:numPr>
      </w:pPr>
      <w:r>
        <w:rPr>
          <w:rFonts w:ascii="Calibri" w:hAnsi="Calibri"/>
          <w:b w:val="0"/>
          <w:szCs w:val="24"/>
          <w:lang w:val="en-US"/>
        </w:rPr>
        <w:t xml:space="preserve"> </w:t>
      </w:r>
    </w:p>
    <w:p w:rsidR="00A344F1" w:rsidRDefault="00A344F1" w:rsidP="005F41F3"/>
    <w:sectPr w:rsidR="00A344F1" w:rsidSect="000E56D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7D3B" w:rsidRDefault="00017D3B">
      <w:pPr>
        <w:spacing w:before="0" w:after="0" w:line="240" w:lineRule="auto"/>
      </w:pPr>
      <w:r>
        <w:separator/>
      </w:r>
    </w:p>
  </w:endnote>
  <w:endnote w:type="continuationSeparator" w:id="0">
    <w:p w:rsidR="00017D3B" w:rsidRDefault="00017D3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353244"/>
      <w:docPartObj>
        <w:docPartGallery w:val="Page Numbers (Bottom of Page)"/>
        <w:docPartUnique/>
      </w:docPartObj>
    </w:sdtPr>
    <w:sdtEndPr>
      <w:rPr>
        <w:noProof/>
      </w:rPr>
    </w:sdtEndPr>
    <w:sdtContent>
      <w:p w:rsidR="001372EB" w:rsidRDefault="001372EB">
        <w:pPr>
          <w:pStyle w:val="Footer"/>
          <w:jc w:val="right"/>
        </w:pPr>
        <w:r>
          <w:t xml:space="preserve">Enterprise Risk Management                                                   </w:t>
        </w:r>
        <w:r>
          <w:fldChar w:fldCharType="begin"/>
        </w:r>
        <w:r>
          <w:instrText xml:space="preserve"> PAGE   \* MERGEFORMAT </w:instrText>
        </w:r>
        <w:r>
          <w:fldChar w:fldCharType="separate"/>
        </w:r>
        <w:r w:rsidR="0079129D">
          <w:rPr>
            <w:noProof/>
          </w:rPr>
          <w:t>1</w:t>
        </w:r>
        <w:r>
          <w:rPr>
            <w:noProof/>
          </w:rPr>
          <w:fldChar w:fldCharType="end"/>
        </w:r>
      </w:p>
    </w:sdtContent>
  </w:sdt>
  <w:p w:rsidR="001372EB" w:rsidRDefault="001372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7D3B" w:rsidRDefault="00017D3B">
      <w:pPr>
        <w:spacing w:before="0" w:after="0" w:line="240" w:lineRule="auto"/>
      </w:pPr>
      <w:r>
        <w:separator/>
      </w:r>
    </w:p>
  </w:footnote>
  <w:footnote w:type="continuationSeparator" w:id="0">
    <w:p w:rsidR="00017D3B" w:rsidRDefault="00017D3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7D3B" w:rsidRDefault="00017D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FC2" w:rsidRPr="006C65E9" w:rsidRDefault="00B32FC2" w:rsidP="00B32FC2">
    <w:pPr>
      <w:pStyle w:val="Header"/>
      <w:pBdr>
        <w:bottom w:val="single" w:sz="12" w:space="1" w:color="auto"/>
      </w:pBdr>
    </w:pPr>
    <w:r>
      <w:rPr>
        <w:noProof/>
        <w:lang w:eastAsia="en-ZA"/>
      </w:rPr>
      <mc:AlternateContent>
        <mc:Choice Requires="wps">
          <w:drawing>
            <wp:anchor distT="45720" distB="45720" distL="114300" distR="114300" simplePos="0" relativeHeight="251663360" behindDoc="0" locked="0" layoutInCell="1" allowOverlap="1" wp14:anchorId="1B49CC4A" wp14:editId="792EED8C">
              <wp:simplePos x="0" y="0"/>
              <wp:positionH relativeFrom="column">
                <wp:posOffset>666750</wp:posOffset>
              </wp:positionH>
              <wp:positionV relativeFrom="paragraph">
                <wp:posOffset>149860</wp:posOffset>
              </wp:positionV>
              <wp:extent cx="5066030" cy="638175"/>
              <wp:effectExtent l="0" t="0" r="39370" b="66675"/>
              <wp:wrapSquare wrapText="bothSides"/>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6030" cy="638175"/>
                      </a:xfrm>
                      <a:prstGeom prst="rect">
                        <a:avLst/>
                      </a:prstGeom>
                      <a:gradFill rotWithShape="0">
                        <a:gsLst>
                          <a:gs pos="0">
                            <a:srgbClr val="F4B083"/>
                          </a:gs>
                          <a:gs pos="50000">
                            <a:srgbClr val="FBE4D5"/>
                          </a:gs>
                          <a:gs pos="100000">
                            <a:srgbClr val="F4B083"/>
                          </a:gs>
                        </a:gsLst>
                        <a:lin ang="18900000" scaled="1"/>
                      </a:gradFill>
                      <a:ln w="12700">
                        <a:solidFill>
                          <a:srgbClr val="F4B083"/>
                        </a:solidFill>
                        <a:miter lim="800000"/>
                        <a:headEnd/>
                        <a:tailEnd/>
                      </a:ln>
                      <a:effectLst>
                        <a:outerShdw dist="28398" dir="3806097" algn="ctr" rotWithShape="0">
                          <a:srgbClr val="823B0B">
                            <a:alpha val="50000"/>
                          </a:srgbClr>
                        </a:outerShdw>
                      </a:effectLst>
                    </wps:spPr>
                    <wps:txbx>
                      <w:txbxContent>
                        <w:p w:rsidR="00B32FC2" w:rsidRDefault="00B32FC2" w:rsidP="00B32FC2">
                          <w:pPr>
                            <w:pStyle w:val="NoSpacing"/>
                            <w:jc w:val="right"/>
                          </w:pPr>
                        </w:p>
                        <w:p w:rsidR="00B32FC2" w:rsidRDefault="00B32FC2" w:rsidP="00B32FC2">
                          <w:pPr>
                            <w:pStyle w:val="NoSpacing"/>
                            <w:jc w:val="center"/>
                          </w:pPr>
                          <w:r w:rsidRPr="00A42F34">
                            <w:t>MADIBENG LOCAL MUNICIPALITY</w:t>
                          </w:r>
                        </w:p>
                        <w:p w:rsidR="00B32FC2" w:rsidRPr="00DE706B" w:rsidRDefault="00B32FC2" w:rsidP="00B32FC2">
                          <w:pPr>
                            <w:pStyle w:val="NoSpacing"/>
                            <w:jc w:val="center"/>
                            <w:rPr>
                              <w:sz w:val="6"/>
                            </w:rPr>
                          </w:pPr>
                        </w:p>
                        <w:p w:rsidR="00B32FC2" w:rsidRPr="00A42F34" w:rsidRDefault="00B32FC2" w:rsidP="00B32FC2">
                          <w:pPr>
                            <w:pStyle w:val="NoSpacing"/>
                            <w:jc w:val="center"/>
                          </w:pPr>
                          <w:r>
                            <w:t>INTEGRITY MANAGEMENT FRAMEWORK</w:t>
                          </w:r>
                        </w:p>
                        <w:p w:rsidR="00B32FC2" w:rsidRPr="00A42F34" w:rsidRDefault="00B32FC2" w:rsidP="00B32FC2">
                          <w:pPr>
                            <w:pStyle w:val="NoSpacing"/>
                            <w:jc w:val="right"/>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49CC4A" id="_x0000_t202" coordsize="21600,21600" o:spt="202" path="m,l,21600r21600,l21600,xe">
              <v:stroke joinstyle="miter"/>
              <v:path gradientshapeok="t" o:connecttype="rect"/>
            </v:shapetype>
            <v:shape id="Text Box 71" o:spid="_x0000_s1026" type="#_x0000_t202" style="position:absolute;left:0;text-align:left;margin-left:52.5pt;margin-top:11.8pt;width:398.9pt;height:50.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" fillcolor="#f4b083" strokecolor="#f4b083" strokeweight="1pt">
              <v:fill color2="#fbe4d5" angle="135" focus="50%" type="gradient"/>
              <v:shadow on="t" color="#823b0b" opacity=".5" offset="1pt"/>
              <v:textbox>
                <w:txbxContent>
                  <w:p w:rsidR="00B32FC2" w:rsidRDefault="00B32FC2" w:rsidP="00B32FC2">
                    <w:pPr>
                      <w:pStyle w:val="NoSpacing"/>
                      <w:jc w:val="right"/>
                    </w:pPr>
                  </w:p>
                  <w:p w:rsidR="00B32FC2" w:rsidRDefault="00B32FC2" w:rsidP="00B32FC2">
                    <w:pPr>
                      <w:pStyle w:val="NoSpacing"/>
                      <w:jc w:val="center"/>
                    </w:pPr>
                    <w:r w:rsidRPr="00A42F34">
                      <w:t>MADIBENG LOCAL MUNICIPALITY</w:t>
                    </w:r>
                  </w:p>
                  <w:p w:rsidR="00B32FC2" w:rsidRPr="00DE706B" w:rsidRDefault="00B32FC2" w:rsidP="00B32FC2">
                    <w:pPr>
                      <w:pStyle w:val="NoSpacing"/>
                      <w:jc w:val="center"/>
                      <w:rPr>
                        <w:sz w:val="6"/>
                      </w:rPr>
                    </w:pPr>
                  </w:p>
                  <w:p w:rsidR="00B32FC2" w:rsidRPr="00A42F34" w:rsidRDefault="00B32FC2" w:rsidP="00B32FC2">
                    <w:pPr>
                      <w:pStyle w:val="NoSpacing"/>
                      <w:jc w:val="center"/>
                    </w:pPr>
                    <w:r>
                      <w:t>INTEGRITY MANAGEMENT FRAMEWORK</w:t>
                    </w:r>
                  </w:p>
                  <w:p w:rsidR="00B32FC2" w:rsidRPr="00A42F34" w:rsidRDefault="00B32FC2" w:rsidP="00B32FC2">
                    <w:pPr>
                      <w:pStyle w:val="NoSpacing"/>
                      <w:jc w:val="right"/>
                    </w:pPr>
                  </w:p>
                </w:txbxContent>
              </v:textbox>
              <w10:wrap type="square"/>
            </v:shape>
          </w:pict>
        </mc:Fallback>
      </mc:AlternateContent>
    </w:r>
    <w:r>
      <w:rPr>
        <w:noProof/>
        <w:lang w:eastAsia="en-ZA"/>
      </w:rPr>
      <w:drawing>
        <wp:inline distT="0" distB="0" distL="0" distR="0" wp14:anchorId="185C1CAE" wp14:editId="20C50CC4">
          <wp:extent cx="552450" cy="638175"/>
          <wp:effectExtent l="0" t="0" r="0" b="9525"/>
          <wp:docPr id="12" name="Picture 12" descr="Small Madibeng L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 Madibeng LM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638175"/>
                  </a:xfrm>
                  <a:prstGeom prst="rect">
                    <a:avLst/>
                  </a:prstGeom>
                  <a:noFill/>
                  <a:ln>
                    <a:noFill/>
                  </a:ln>
                </pic:spPr>
              </pic:pic>
            </a:graphicData>
          </a:graphic>
        </wp:inline>
      </w:drawing>
    </w:r>
    <w:r>
      <w:t xml:space="preserve">                                      </w:t>
    </w:r>
  </w:p>
  <w:p w:rsidR="00B32FC2" w:rsidRDefault="00B32FC2" w:rsidP="00B32FC2">
    <w:pPr>
      <w:pStyle w:val="NoSpacing"/>
      <w:pBdr>
        <w:bottom w:val="single" w:sz="12" w:space="1" w:color="auto"/>
      </w:pBdr>
      <w:rPr>
        <w:rFonts w:cs="Arial"/>
      </w:rPr>
    </w:pPr>
  </w:p>
  <w:p w:rsidR="00017D3B" w:rsidRDefault="00017D3B" w:rsidP="00017D3B">
    <w:pPr>
      <w:pStyle w:val="NoSpacing"/>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7D3B" w:rsidRDefault="00017D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F264A"/>
    <w:multiLevelType w:val="hybridMultilevel"/>
    <w:tmpl w:val="462EDD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E587871"/>
    <w:multiLevelType w:val="multilevel"/>
    <w:tmpl w:val="9B988102"/>
    <w:lvl w:ilvl="0">
      <w:start w:val="1"/>
      <w:numFmt w:val="decimal"/>
      <w:pStyle w:val="CMSNumberHeading1"/>
      <w:lvlText w:val="%1."/>
      <w:lvlJc w:val="left"/>
      <w:pPr>
        <w:ind w:left="360" w:hanging="360"/>
      </w:pPr>
      <w:rPr>
        <w:rFonts w:hint="default"/>
        <w:b w:val="0"/>
      </w:rPr>
    </w:lvl>
    <w:lvl w:ilvl="1">
      <w:start w:val="1"/>
      <w:numFmt w:val="decimal"/>
      <w:pStyle w:val="CMSNumberHeading2"/>
      <w:isLgl/>
      <w:lvlText w:val="%1.%2"/>
      <w:lvlJc w:val="left"/>
      <w:pPr>
        <w:ind w:left="720" w:hanging="720"/>
      </w:pPr>
      <w:rPr>
        <w:rFonts w:hint="default"/>
      </w:rPr>
    </w:lvl>
    <w:lvl w:ilvl="2">
      <w:start w:val="1"/>
      <w:numFmt w:val="decimal"/>
      <w:pStyle w:val="NRFNumberedHeading3"/>
      <w:isLgl/>
      <w:lvlText w:val="%1.%2.%3"/>
      <w:lvlJc w:val="left"/>
      <w:pPr>
        <w:ind w:left="720" w:hanging="720"/>
      </w:pPr>
      <w:rPr>
        <w:rFonts w:hint="default"/>
      </w:rPr>
    </w:lvl>
    <w:lvl w:ilvl="3">
      <w:start w:val="1"/>
      <w:numFmt w:val="decimal"/>
      <w:pStyle w:val="NRFHeading4"/>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A0B4100"/>
    <w:multiLevelType w:val="hybridMultilevel"/>
    <w:tmpl w:val="A34287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E113548"/>
    <w:multiLevelType w:val="hybridMultilevel"/>
    <w:tmpl w:val="6EAC28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F595096"/>
    <w:multiLevelType w:val="hybridMultilevel"/>
    <w:tmpl w:val="BCB6315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F6E7D88"/>
    <w:multiLevelType w:val="hybridMultilevel"/>
    <w:tmpl w:val="3B4677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97E07D5"/>
    <w:multiLevelType w:val="hybridMultilevel"/>
    <w:tmpl w:val="4D3C77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3B655155"/>
    <w:multiLevelType w:val="hybridMultilevel"/>
    <w:tmpl w:val="CA14EF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3D8B472A"/>
    <w:multiLevelType w:val="hybridMultilevel"/>
    <w:tmpl w:val="997A4B1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5D710940"/>
    <w:multiLevelType w:val="hybridMultilevel"/>
    <w:tmpl w:val="07D4CCF0"/>
    <w:lvl w:ilvl="0" w:tplc="D746289C">
      <w:start w:val="1"/>
      <w:numFmt w:val="bullet"/>
      <w:lvlText w:val=""/>
      <w:lvlJc w:val="left"/>
      <w:pPr>
        <w:ind w:left="720" w:hanging="360"/>
      </w:pPr>
      <w:rPr>
        <w:rFonts w:ascii="Symbol" w:hAnsi="Symbol" w:hint="default"/>
      </w:rPr>
    </w:lvl>
    <w:lvl w:ilvl="1" w:tplc="1C090019">
      <w:start w:val="1"/>
      <w:numFmt w:val="bullet"/>
      <w:lvlText w:val="o"/>
      <w:lvlJc w:val="left"/>
      <w:pPr>
        <w:ind w:left="1440" w:hanging="360"/>
      </w:pPr>
      <w:rPr>
        <w:rFonts w:ascii="Courier New" w:hAnsi="Courier New" w:cs="Courier New" w:hint="default"/>
      </w:rPr>
    </w:lvl>
    <w:lvl w:ilvl="2" w:tplc="1C09001B" w:tentative="1">
      <w:start w:val="1"/>
      <w:numFmt w:val="bullet"/>
      <w:lvlText w:val=""/>
      <w:lvlJc w:val="left"/>
      <w:pPr>
        <w:ind w:left="2160" w:hanging="360"/>
      </w:pPr>
      <w:rPr>
        <w:rFonts w:ascii="Wingdings" w:hAnsi="Wingdings" w:hint="default"/>
      </w:rPr>
    </w:lvl>
    <w:lvl w:ilvl="3" w:tplc="1C09000F" w:tentative="1">
      <w:start w:val="1"/>
      <w:numFmt w:val="bullet"/>
      <w:lvlText w:val=""/>
      <w:lvlJc w:val="left"/>
      <w:pPr>
        <w:ind w:left="2880" w:hanging="360"/>
      </w:pPr>
      <w:rPr>
        <w:rFonts w:ascii="Symbol" w:hAnsi="Symbol" w:hint="default"/>
      </w:rPr>
    </w:lvl>
    <w:lvl w:ilvl="4" w:tplc="1C090019" w:tentative="1">
      <w:start w:val="1"/>
      <w:numFmt w:val="bullet"/>
      <w:lvlText w:val="o"/>
      <w:lvlJc w:val="left"/>
      <w:pPr>
        <w:ind w:left="3600" w:hanging="360"/>
      </w:pPr>
      <w:rPr>
        <w:rFonts w:ascii="Courier New" w:hAnsi="Courier New" w:cs="Courier New" w:hint="default"/>
      </w:rPr>
    </w:lvl>
    <w:lvl w:ilvl="5" w:tplc="1C09001B" w:tentative="1">
      <w:start w:val="1"/>
      <w:numFmt w:val="bullet"/>
      <w:lvlText w:val=""/>
      <w:lvlJc w:val="left"/>
      <w:pPr>
        <w:ind w:left="4320" w:hanging="360"/>
      </w:pPr>
      <w:rPr>
        <w:rFonts w:ascii="Wingdings" w:hAnsi="Wingdings" w:hint="default"/>
      </w:rPr>
    </w:lvl>
    <w:lvl w:ilvl="6" w:tplc="1C09000F" w:tentative="1">
      <w:start w:val="1"/>
      <w:numFmt w:val="bullet"/>
      <w:lvlText w:val=""/>
      <w:lvlJc w:val="left"/>
      <w:pPr>
        <w:ind w:left="5040" w:hanging="360"/>
      </w:pPr>
      <w:rPr>
        <w:rFonts w:ascii="Symbol" w:hAnsi="Symbol" w:hint="default"/>
      </w:rPr>
    </w:lvl>
    <w:lvl w:ilvl="7" w:tplc="1C090019" w:tentative="1">
      <w:start w:val="1"/>
      <w:numFmt w:val="bullet"/>
      <w:lvlText w:val="o"/>
      <w:lvlJc w:val="left"/>
      <w:pPr>
        <w:ind w:left="5760" w:hanging="360"/>
      </w:pPr>
      <w:rPr>
        <w:rFonts w:ascii="Courier New" w:hAnsi="Courier New" w:cs="Courier New" w:hint="default"/>
      </w:rPr>
    </w:lvl>
    <w:lvl w:ilvl="8" w:tplc="1C09001B" w:tentative="1">
      <w:start w:val="1"/>
      <w:numFmt w:val="bullet"/>
      <w:lvlText w:val=""/>
      <w:lvlJc w:val="left"/>
      <w:pPr>
        <w:ind w:left="6480" w:hanging="360"/>
      </w:pPr>
      <w:rPr>
        <w:rFonts w:ascii="Wingdings" w:hAnsi="Wingdings" w:hint="default"/>
      </w:rPr>
    </w:lvl>
  </w:abstractNum>
  <w:abstractNum w:abstractNumId="10" w15:restartNumberingAfterBreak="0">
    <w:nsid w:val="5DA1391F"/>
    <w:multiLevelType w:val="hybridMultilevel"/>
    <w:tmpl w:val="34783880"/>
    <w:lvl w:ilvl="0" w:tplc="D746289C">
      <w:start w:val="1"/>
      <w:numFmt w:val="bullet"/>
      <w:lvlText w:val=""/>
      <w:lvlJc w:val="left"/>
      <w:pPr>
        <w:ind w:left="720" w:hanging="360"/>
      </w:pPr>
      <w:rPr>
        <w:rFonts w:ascii="Symbol" w:hAnsi="Symbol" w:hint="default"/>
      </w:rPr>
    </w:lvl>
    <w:lvl w:ilvl="1" w:tplc="1C090019" w:tentative="1">
      <w:start w:val="1"/>
      <w:numFmt w:val="bullet"/>
      <w:lvlText w:val="o"/>
      <w:lvlJc w:val="left"/>
      <w:pPr>
        <w:ind w:left="1440" w:hanging="360"/>
      </w:pPr>
      <w:rPr>
        <w:rFonts w:ascii="Courier New" w:hAnsi="Courier New" w:cs="Courier New" w:hint="default"/>
      </w:rPr>
    </w:lvl>
    <w:lvl w:ilvl="2" w:tplc="1C09001B" w:tentative="1">
      <w:start w:val="1"/>
      <w:numFmt w:val="bullet"/>
      <w:lvlText w:val=""/>
      <w:lvlJc w:val="left"/>
      <w:pPr>
        <w:ind w:left="2160" w:hanging="360"/>
      </w:pPr>
      <w:rPr>
        <w:rFonts w:ascii="Wingdings" w:hAnsi="Wingdings" w:hint="default"/>
      </w:rPr>
    </w:lvl>
    <w:lvl w:ilvl="3" w:tplc="1C09000F" w:tentative="1">
      <w:start w:val="1"/>
      <w:numFmt w:val="bullet"/>
      <w:lvlText w:val=""/>
      <w:lvlJc w:val="left"/>
      <w:pPr>
        <w:ind w:left="2880" w:hanging="360"/>
      </w:pPr>
      <w:rPr>
        <w:rFonts w:ascii="Symbol" w:hAnsi="Symbol" w:hint="default"/>
      </w:rPr>
    </w:lvl>
    <w:lvl w:ilvl="4" w:tplc="1C090019" w:tentative="1">
      <w:start w:val="1"/>
      <w:numFmt w:val="bullet"/>
      <w:lvlText w:val="o"/>
      <w:lvlJc w:val="left"/>
      <w:pPr>
        <w:ind w:left="3600" w:hanging="360"/>
      </w:pPr>
      <w:rPr>
        <w:rFonts w:ascii="Courier New" w:hAnsi="Courier New" w:cs="Courier New" w:hint="default"/>
      </w:rPr>
    </w:lvl>
    <w:lvl w:ilvl="5" w:tplc="1C09001B" w:tentative="1">
      <w:start w:val="1"/>
      <w:numFmt w:val="bullet"/>
      <w:lvlText w:val=""/>
      <w:lvlJc w:val="left"/>
      <w:pPr>
        <w:ind w:left="4320" w:hanging="360"/>
      </w:pPr>
      <w:rPr>
        <w:rFonts w:ascii="Wingdings" w:hAnsi="Wingdings" w:hint="default"/>
      </w:rPr>
    </w:lvl>
    <w:lvl w:ilvl="6" w:tplc="1C09000F" w:tentative="1">
      <w:start w:val="1"/>
      <w:numFmt w:val="bullet"/>
      <w:lvlText w:val=""/>
      <w:lvlJc w:val="left"/>
      <w:pPr>
        <w:ind w:left="5040" w:hanging="360"/>
      </w:pPr>
      <w:rPr>
        <w:rFonts w:ascii="Symbol" w:hAnsi="Symbol" w:hint="default"/>
      </w:rPr>
    </w:lvl>
    <w:lvl w:ilvl="7" w:tplc="1C090019" w:tentative="1">
      <w:start w:val="1"/>
      <w:numFmt w:val="bullet"/>
      <w:lvlText w:val="o"/>
      <w:lvlJc w:val="left"/>
      <w:pPr>
        <w:ind w:left="5760" w:hanging="360"/>
      </w:pPr>
      <w:rPr>
        <w:rFonts w:ascii="Courier New" w:hAnsi="Courier New" w:cs="Courier New" w:hint="default"/>
      </w:rPr>
    </w:lvl>
    <w:lvl w:ilvl="8" w:tplc="1C09001B" w:tentative="1">
      <w:start w:val="1"/>
      <w:numFmt w:val="bullet"/>
      <w:lvlText w:val=""/>
      <w:lvlJc w:val="left"/>
      <w:pPr>
        <w:ind w:left="6480" w:hanging="360"/>
      </w:pPr>
      <w:rPr>
        <w:rFonts w:ascii="Wingdings" w:hAnsi="Wingdings" w:hint="default"/>
      </w:rPr>
    </w:lvl>
  </w:abstractNum>
  <w:abstractNum w:abstractNumId="11" w15:restartNumberingAfterBreak="0">
    <w:nsid w:val="6F682A7D"/>
    <w:multiLevelType w:val="hybridMultilevel"/>
    <w:tmpl w:val="C2721088"/>
    <w:lvl w:ilvl="0" w:tplc="1C090001">
      <w:start w:val="1"/>
      <w:numFmt w:val="bullet"/>
      <w:pStyle w:val="EMMBullet1"/>
      <w:lvlText w:val=""/>
      <w:lvlJc w:val="left"/>
      <w:pPr>
        <w:ind w:left="720" w:hanging="360"/>
      </w:pPr>
      <w:rPr>
        <w:rFonts w:ascii="Symbol" w:hAnsi="Symbol" w:hint="default"/>
      </w:rPr>
    </w:lvl>
    <w:lvl w:ilvl="1" w:tplc="1C090003">
      <w:start w:val="1"/>
      <w:numFmt w:val="bullet"/>
      <w:pStyle w:val="EMMBullet2"/>
      <w:lvlText w:val=""/>
      <w:lvlJc w:val="left"/>
      <w:pPr>
        <w:ind w:left="1440" w:hanging="360"/>
      </w:pPr>
      <w:rPr>
        <w:rFonts w:ascii="Wingdings 3" w:hAnsi="Wingdings 3" w:hint="default"/>
      </w:rPr>
    </w:lvl>
    <w:lvl w:ilvl="2" w:tplc="1C090005">
      <w:start w:val="1"/>
      <w:numFmt w:val="bullet"/>
      <w:pStyle w:val="EMMBullet3"/>
      <w:lvlText w:val="o"/>
      <w:lvlJc w:val="left"/>
      <w:pPr>
        <w:ind w:left="2160" w:hanging="360"/>
      </w:pPr>
      <w:rPr>
        <w:rFonts w:ascii="Courier New" w:hAnsi="Courier New" w:cs="Courier New"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7D06309A"/>
    <w:multiLevelType w:val="hybridMultilevel"/>
    <w:tmpl w:val="8CFAC4C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7ECF190B"/>
    <w:multiLevelType w:val="hybridMultilevel"/>
    <w:tmpl w:val="E1B20C5C"/>
    <w:lvl w:ilvl="0" w:tplc="A296E2F2">
      <w:start w:val="1"/>
      <w:numFmt w:val="bullet"/>
      <w:lvlText w:val=""/>
      <w:lvlJc w:val="left"/>
      <w:pPr>
        <w:ind w:left="720" w:hanging="360"/>
      </w:pPr>
      <w:rPr>
        <w:rFonts w:ascii="Symbol" w:hAnsi="Symbol" w:hint="default"/>
      </w:rPr>
    </w:lvl>
    <w:lvl w:ilvl="1" w:tplc="275C5FB2" w:tentative="1">
      <w:start w:val="1"/>
      <w:numFmt w:val="bullet"/>
      <w:lvlText w:val="o"/>
      <w:lvlJc w:val="left"/>
      <w:pPr>
        <w:ind w:left="1440" w:hanging="360"/>
      </w:pPr>
      <w:rPr>
        <w:rFonts w:ascii="Courier New" w:hAnsi="Courier New" w:cs="Courier New" w:hint="default"/>
      </w:rPr>
    </w:lvl>
    <w:lvl w:ilvl="2" w:tplc="8402E236"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13"/>
  </w:num>
  <w:num w:numId="4">
    <w:abstractNumId w:val="8"/>
  </w:num>
  <w:num w:numId="5">
    <w:abstractNumId w:val="0"/>
  </w:num>
  <w:num w:numId="6">
    <w:abstractNumId w:val="5"/>
  </w:num>
  <w:num w:numId="7">
    <w:abstractNumId w:val="9"/>
  </w:num>
  <w:num w:numId="8">
    <w:abstractNumId w:val="12"/>
  </w:num>
  <w:num w:numId="9">
    <w:abstractNumId w:val="3"/>
  </w:num>
  <w:num w:numId="10">
    <w:abstractNumId w:val="6"/>
  </w:num>
  <w:num w:numId="11">
    <w:abstractNumId w:val="7"/>
  </w:num>
  <w:num w:numId="12">
    <w:abstractNumId w:val="4"/>
  </w:num>
  <w:num w:numId="13">
    <w:abstractNumId w:val="10"/>
  </w:num>
  <w:num w:numId="14">
    <w:abstractNumId w:val="2"/>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08D"/>
    <w:rsid w:val="00017395"/>
    <w:rsid w:val="00017D3B"/>
    <w:rsid w:val="00050234"/>
    <w:rsid w:val="00060406"/>
    <w:rsid w:val="0009008D"/>
    <w:rsid w:val="00092561"/>
    <w:rsid w:val="000A139D"/>
    <w:rsid w:val="000B35C9"/>
    <w:rsid w:val="000B4738"/>
    <w:rsid w:val="000C3F47"/>
    <w:rsid w:val="000D51FB"/>
    <w:rsid w:val="000D5765"/>
    <w:rsid w:val="000E4A80"/>
    <w:rsid w:val="000E56DD"/>
    <w:rsid w:val="000F4DAF"/>
    <w:rsid w:val="000F6FC7"/>
    <w:rsid w:val="001372EB"/>
    <w:rsid w:val="0015680C"/>
    <w:rsid w:val="00172479"/>
    <w:rsid w:val="001747B7"/>
    <w:rsid w:val="00180E50"/>
    <w:rsid w:val="0018249A"/>
    <w:rsid w:val="001A1824"/>
    <w:rsid w:val="001A3542"/>
    <w:rsid w:val="001B1644"/>
    <w:rsid w:val="001C20FF"/>
    <w:rsid w:val="001C2D65"/>
    <w:rsid w:val="001C7B35"/>
    <w:rsid w:val="001D38C8"/>
    <w:rsid w:val="001D5111"/>
    <w:rsid w:val="001F29D3"/>
    <w:rsid w:val="0022098E"/>
    <w:rsid w:val="00225178"/>
    <w:rsid w:val="00227A7F"/>
    <w:rsid w:val="00243DAB"/>
    <w:rsid w:val="00290070"/>
    <w:rsid w:val="00297E19"/>
    <w:rsid w:val="002B7289"/>
    <w:rsid w:val="002C09BC"/>
    <w:rsid w:val="002F39E2"/>
    <w:rsid w:val="003124D7"/>
    <w:rsid w:val="00314EA6"/>
    <w:rsid w:val="00336F9C"/>
    <w:rsid w:val="00351F70"/>
    <w:rsid w:val="00352581"/>
    <w:rsid w:val="003537CB"/>
    <w:rsid w:val="00365D75"/>
    <w:rsid w:val="003817C2"/>
    <w:rsid w:val="00382CE5"/>
    <w:rsid w:val="003C67F4"/>
    <w:rsid w:val="003D3F14"/>
    <w:rsid w:val="003D7832"/>
    <w:rsid w:val="003F3A99"/>
    <w:rsid w:val="004045B2"/>
    <w:rsid w:val="004210A6"/>
    <w:rsid w:val="00435832"/>
    <w:rsid w:val="004520EA"/>
    <w:rsid w:val="00477F7F"/>
    <w:rsid w:val="004A19A8"/>
    <w:rsid w:val="005242BE"/>
    <w:rsid w:val="005665E0"/>
    <w:rsid w:val="005C10EC"/>
    <w:rsid w:val="005C3CA1"/>
    <w:rsid w:val="005F41F3"/>
    <w:rsid w:val="005F42FD"/>
    <w:rsid w:val="006070EC"/>
    <w:rsid w:val="00611978"/>
    <w:rsid w:val="00613066"/>
    <w:rsid w:val="0062266F"/>
    <w:rsid w:val="00651AA8"/>
    <w:rsid w:val="0067267C"/>
    <w:rsid w:val="0067721E"/>
    <w:rsid w:val="00685ABD"/>
    <w:rsid w:val="006A7808"/>
    <w:rsid w:val="006C3255"/>
    <w:rsid w:val="006D2509"/>
    <w:rsid w:val="006F39C9"/>
    <w:rsid w:val="00700947"/>
    <w:rsid w:val="00702D08"/>
    <w:rsid w:val="00711125"/>
    <w:rsid w:val="00720804"/>
    <w:rsid w:val="0072698E"/>
    <w:rsid w:val="00732C7B"/>
    <w:rsid w:val="00744029"/>
    <w:rsid w:val="0075046D"/>
    <w:rsid w:val="0079129D"/>
    <w:rsid w:val="00791597"/>
    <w:rsid w:val="007F3E2F"/>
    <w:rsid w:val="00852884"/>
    <w:rsid w:val="00856299"/>
    <w:rsid w:val="00881D8F"/>
    <w:rsid w:val="008C24C3"/>
    <w:rsid w:val="00922C56"/>
    <w:rsid w:val="009233BE"/>
    <w:rsid w:val="00930FFB"/>
    <w:rsid w:val="009366F2"/>
    <w:rsid w:val="009A16C4"/>
    <w:rsid w:val="009B0F94"/>
    <w:rsid w:val="009C56F0"/>
    <w:rsid w:val="009C75F7"/>
    <w:rsid w:val="009D6131"/>
    <w:rsid w:val="00A063CB"/>
    <w:rsid w:val="00A21D47"/>
    <w:rsid w:val="00A23AD8"/>
    <w:rsid w:val="00A30DAA"/>
    <w:rsid w:val="00A344F1"/>
    <w:rsid w:val="00A53BB8"/>
    <w:rsid w:val="00A64E2A"/>
    <w:rsid w:val="00A71475"/>
    <w:rsid w:val="00A7315E"/>
    <w:rsid w:val="00A74E30"/>
    <w:rsid w:val="00A75717"/>
    <w:rsid w:val="00AD3917"/>
    <w:rsid w:val="00AD7E33"/>
    <w:rsid w:val="00B21720"/>
    <w:rsid w:val="00B32FC2"/>
    <w:rsid w:val="00B57170"/>
    <w:rsid w:val="00B66BE2"/>
    <w:rsid w:val="00BA7213"/>
    <w:rsid w:val="00BC4456"/>
    <w:rsid w:val="00BC7E82"/>
    <w:rsid w:val="00BF0F22"/>
    <w:rsid w:val="00C07857"/>
    <w:rsid w:val="00C17237"/>
    <w:rsid w:val="00C5605C"/>
    <w:rsid w:val="00C63919"/>
    <w:rsid w:val="00CD374D"/>
    <w:rsid w:val="00CD4D79"/>
    <w:rsid w:val="00D3185B"/>
    <w:rsid w:val="00D464FE"/>
    <w:rsid w:val="00D559E0"/>
    <w:rsid w:val="00D664B0"/>
    <w:rsid w:val="00D746F3"/>
    <w:rsid w:val="00DB29A4"/>
    <w:rsid w:val="00DB4DB2"/>
    <w:rsid w:val="00DB7C68"/>
    <w:rsid w:val="00DC4FE9"/>
    <w:rsid w:val="00DE5EDF"/>
    <w:rsid w:val="00E03B53"/>
    <w:rsid w:val="00E10A64"/>
    <w:rsid w:val="00E22D08"/>
    <w:rsid w:val="00E3483D"/>
    <w:rsid w:val="00E37869"/>
    <w:rsid w:val="00E44DE0"/>
    <w:rsid w:val="00E74873"/>
    <w:rsid w:val="00E765F9"/>
    <w:rsid w:val="00E80A06"/>
    <w:rsid w:val="00E92426"/>
    <w:rsid w:val="00EC7DA6"/>
    <w:rsid w:val="00EF576E"/>
    <w:rsid w:val="00F03735"/>
    <w:rsid w:val="00F63E5C"/>
    <w:rsid w:val="00F9719D"/>
    <w:rsid w:val="00FB5F2C"/>
    <w:rsid w:val="00FC32D0"/>
    <w:rsid w:val="00FE5D0E"/>
    <w:rsid w:val="00FF5D4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8AC7CC"/>
  <w15:docId w15:val="{63392304-EFEE-4AAB-9BD7-6462DC6C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008D"/>
    <w:pPr>
      <w:spacing w:before="240" w:after="240" w:line="360" w:lineRule="auto"/>
      <w:jc w:val="both"/>
    </w:pPr>
    <w:rPr>
      <w:rFonts w:ascii="Arial" w:hAnsi="Arial"/>
    </w:rPr>
  </w:style>
  <w:style w:type="paragraph" w:styleId="Heading1">
    <w:name w:val="heading 1"/>
    <w:basedOn w:val="Normal"/>
    <w:next w:val="Normal"/>
    <w:link w:val="Heading1Char"/>
    <w:uiPriority w:val="9"/>
    <w:qFormat/>
    <w:rsid w:val="0009008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9008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008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9008D"/>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09008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008D"/>
    <w:rPr>
      <w:rFonts w:ascii="Arial" w:hAnsi="Arial"/>
    </w:rPr>
  </w:style>
  <w:style w:type="paragraph" w:styleId="Footer">
    <w:name w:val="footer"/>
    <w:basedOn w:val="Normal"/>
    <w:link w:val="FooterChar"/>
    <w:uiPriority w:val="99"/>
    <w:unhideWhenUsed/>
    <w:rsid w:val="0009008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008D"/>
    <w:rPr>
      <w:rFonts w:ascii="Arial" w:hAnsi="Arial"/>
    </w:rPr>
  </w:style>
  <w:style w:type="paragraph" w:styleId="ListParagraph">
    <w:name w:val="List Paragraph"/>
    <w:basedOn w:val="Normal"/>
    <w:uiPriority w:val="34"/>
    <w:qFormat/>
    <w:rsid w:val="0009008D"/>
    <w:pPr>
      <w:ind w:left="720"/>
      <w:contextualSpacing/>
    </w:pPr>
  </w:style>
  <w:style w:type="paragraph" w:customStyle="1" w:styleId="EMMBullet1">
    <w:name w:val="EMM Bullet 1"/>
    <w:basedOn w:val="Normal"/>
    <w:link w:val="EMMBullet1Char"/>
    <w:qFormat/>
    <w:rsid w:val="0009008D"/>
    <w:pPr>
      <w:numPr>
        <w:numId w:val="1"/>
      </w:numPr>
      <w:spacing w:before="120" w:line="240" w:lineRule="auto"/>
    </w:pPr>
  </w:style>
  <w:style w:type="paragraph" w:customStyle="1" w:styleId="EMMBullet2">
    <w:name w:val="EMM Bullet 2"/>
    <w:basedOn w:val="Normal"/>
    <w:qFormat/>
    <w:rsid w:val="0009008D"/>
    <w:pPr>
      <w:numPr>
        <w:ilvl w:val="1"/>
        <w:numId w:val="1"/>
      </w:numPr>
      <w:spacing w:line="240" w:lineRule="auto"/>
      <w:ind w:left="1559" w:hanging="425"/>
    </w:pPr>
  </w:style>
  <w:style w:type="character" w:customStyle="1" w:styleId="EMMBullet1Char">
    <w:name w:val="EMM Bullet 1 Char"/>
    <w:basedOn w:val="DefaultParagraphFont"/>
    <w:link w:val="EMMBullet1"/>
    <w:rsid w:val="0009008D"/>
    <w:rPr>
      <w:rFonts w:ascii="Arial" w:hAnsi="Arial"/>
    </w:rPr>
  </w:style>
  <w:style w:type="paragraph" w:customStyle="1" w:styleId="EMMBullet3">
    <w:name w:val="EMM Bullet 3"/>
    <w:basedOn w:val="Normal"/>
    <w:qFormat/>
    <w:rsid w:val="0009008D"/>
    <w:pPr>
      <w:numPr>
        <w:ilvl w:val="2"/>
        <w:numId w:val="1"/>
      </w:numPr>
      <w:spacing w:line="240" w:lineRule="auto"/>
      <w:ind w:left="1984" w:hanging="425"/>
    </w:pPr>
  </w:style>
  <w:style w:type="paragraph" w:styleId="NoSpacing">
    <w:name w:val="No Spacing"/>
    <w:aliases w:val="EMM Header Footer"/>
    <w:link w:val="NoSpacingChar"/>
    <w:uiPriority w:val="1"/>
    <w:qFormat/>
    <w:rsid w:val="0009008D"/>
    <w:pPr>
      <w:spacing w:after="0" w:line="240" w:lineRule="auto"/>
      <w:jc w:val="both"/>
    </w:pPr>
    <w:rPr>
      <w:rFonts w:ascii="Arial" w:hAnsi="Arial"/>
    </w:rPr>
  </w:style>
  <w:style w:type="table" w:styleId="TableGrid">
    <w:name w:val="Table Grid"/>
    <w:basedOn w:val="TableNormal"/>
    <w:uiPriority w:val="59"/>
    <w:rsid w:val="000900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NumberHeading1">
    <w:name w:val="CMS Number Heading 1"/>
    <w:basedOn w:val="Heading1"/>
    <w:next w:val="Normal"/>
    <w:qFormat/>
    <w:rsid w:val="0009008D"/>
    <w:pPr>
      <w:numPr>
        <w:numId w:val="2"/>
      </w:numPr>
      <w:tabs>
        <w:tab w:val="left" w:pos="720"/>
      </w:tabs>
      <w:spacing w:after="240"/>
    </w:pPr>
    <w:rPr>
      <w:rFonts w:ascii="Arial" w:hAnsi="Arial"/>
      <w:color w:val="auto"/>
      <w:sz w:val="24"/>
    </w:rPr>
  </w:style>
  <w:style w:type="paragraph" w:customStyle="1" w:styleId="CMSNumberHeading2">
    <w:name w:val="CMS Number Heading 2"/>
    <w:basedOn w:val="Heading2"/>
    <w:next w:val="Normal"/>
    <w:qFormat/>
    <w:rsid w:val="0009008D"/>
    <w:pPr>
      <w:numPr>
        <w:ilvl w:val="1"/>
        <w:numId w:val="2"/>
      </w:numPr>
      <w:spacing w:before="360" w:after="240"/>
    </w:pPr>
    <w:rPr>
      <w:rFonts w:ascii="Arial" w:hAnsi="Arial"/>
      <w:color w:val="auto"/>
      <w:sz w:val="24"/>
    </w:rPr>
  </w:style>
  <w:style w:type="paragraph" w:customStyle="1" w:styleId="NRFNumberedHeading3">
    <w:name w:val="NRF Numbered Heading 3"/>
    <w:basedOn w:val="Normal"/>
    <w:next w:val="Normal"/>
    <w:qFormat/>
    <w:rsid w:val="0009008D"/>
    <w:pPr>
      <w:numPr>
        <w:ilvl w:val="2"/>
        <w:numId w:val="2"/>
      </w:numPr>
      <w:spacing w:before="0" w:after="200"/>
    </w:pPr>
    <w:rPr>
      <w:b/>
      <w:i/>
    </w:rPr>
  </w:style>
  <w:style w:type="paragraph" w:customStyle="1" w:styleId="NRFHeading4">
    <w:name w:val="NRF Heading 4"/>
    <w:basedOn w:val="Normal"/>
    <w:next w:val="Normal"/>
    <w:qFormat/>
    <w:rsid w:val="0009008D"/>
    <w:pPr>
      <w:numPr>
        <w:ilvl w:val="3"/>
        <w:numId w:val="2"/>
      </w:numPr>
      <w:tabs>
        <w:tab w:val="left" w:pos="993"/>
      </w:tabs>
      <w:spacing w:before="360"/>
    </w:pPr>
    <w:rPr>
      <w:b/>
    </w:rPr>
  </w:style>
  <w:style w:type="paragraph" w:customStyle="1" w:styleId="Tabletext">
    <w:name w:val="Table text"/>
    <w:basedOn w:val="Normal"/>
    <w:uiPriority w:val="2"/>
    <w:qFormat/>
    <w:rsid w:val="0009008D"/>
    <w:pPr>
      <w:spacing w:before="60" w:after="60" w:line="264" w:lineRule="auto"/>
      <w:jc w:val="left"/>
    </w:pPr>
    <w:rPr>
      <w:rFonts w:cs="Times New Roman"/>
      <w:sz w:val="20"/>
      <w:szCs w:val="20"/>
    </w:rPr>
  </w:style>
  <w:style w:type="paragraph" w:styleId="BalloonText">
    <w:name w:val="Balloon Text"/>
    <w:basedOn w:val="Normal"/>
    <w:link w:val="BalloonTextChar"/>
    <w:uiPriority w:val="99"/>
    <w:semiHidden/>
    <w:unhideWhenUsed/>
    <w:rsid w:val="0009008D"/>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008D"/>
    <w:rPr>
      <w:rFonts w:ascii="Tahoma" w:hAnsi="Tahoma" w:cs="Tahoma"/>
      <w:sz w:val="16"/>
      <w:szCs w:val="16"/>
    </w:rPr>
  </w:style>
  <w:style w:type="character" w:styleId="CommentReference">
    <w:name w:val="annotation reference"/>
    <w:basedOn w:val="DefaultParagraphFont"/>
    <w:uiPriority w:val="99"/>
    <w:semiHidden/>
    <w:unhideWhenUsed/>
    <w:rsid w:val="00172479"/>
    <w:rPr>
      <w:sz w:val="16"/>
      <w:szCs w:val="16"/>
    </w:rPr>
  </w:style>
  <w:style w:type="paragraph" w:styleId="CommentText">
    <w:name w:val="annotation text"/>
    <w:basedOn w:val="Normal"/>
    <w:link w:val="CommentTextChar"/>
    <w:uiPriority w:val="99"/>
    <w:unhideWhenUsed/>
    <w:rsid w:val="00172479"/>
    <w:pPr>
      <w:spacing w:line="240" w:lineRule="auto"/>
    </w:pPr>
    <w:rPr>
      <w:sz w:val="20"/>
      <w:szCs w:val="20"/>
    </w:rPr>
  </w:style>
  <w:style w:type="character" w:customStyle="1" w:styleId="CommentTextChar">
    <w:name w:val="Comment Text Char"/>
    <w:basedOn w:val="DefaultParagraphFont"/>
    <w:link w:val="CommentText"/>
    <w:uiPriority w:val="99"/>
    <w:rsid w:val="00172479"/>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72479"/>
    <w:rPr>
      <w:b/>
      <w:bCs/>
    </w:rPr>
  </w:style>
  <w:style w:type="character" w:customStyle="1" w:styleId="CommentSubjectChar">
    <w:name w:val="Comment Subject Char"/>
    <w:basedOn w:val="CommentTextChar"/>
    <w:link w:val="CommentSubject"/>
    <w:uiPriority w:val="99"/>
    <w:semiHidden/>
    <w:rsid w:val="00172479"/>
    <w:rPr>
      <w:rFonts w:ascii="Arial" w:hAnsi="Arial"/>
      <w:b/>
      <w:bCs/>
      <w:sz w:val="20"/>
      <w:szCs w:val="20"/>
    </w:rPr>
  </w:style>
  <w:style w:type="paragraph" w:styleId="FootnoteText">
    <w:name w:val="footnote text"/>
    <w:basedOn w:val="Normal"/>
    <w:link w:val="FootnoteTextChar"/>
    <w:uiPriority w:val="99"/>
    <w:semiHidden/>
    <w:unhideWhenUsed/>
    <w:rsid w:val="00E10A64"/>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E10A64"/>
    <w:rPr>
      <w:rFonts w:ascii="Arial" w:hAnsi="Arial"/>
      <w:sz w:val="20"/>
      <w:szCs w:val="20"/>
    </w:rPr>
  </w:style>
  <w:style w:type="character" w:styleId="FootnoteReference">
    <w:name w:val="footnote reference"/>
    <w:basedOn w:val="DefaultParagraphFont"/>
    <w:uiPriority w:val="99"/>
    <w:semiHidden/>
    <w:unhideWhenUsed/>
    <w:rsid w:val="00E10A64"/>
    <w:rPr>
      <w:vertAlign w:val="superscript"/>
    </w:rPr>
  </w:style>
  <w:style w:type="paragraph" w:styleId="Caption">
    <w:name w:val="caption"/>
    <w:basedOn w:val="Normal"/>
    <w:next w:val="Normal"/>
    <w:qFormat/>
    <w:rsid w:val="001C7B35"/>
    <w:pPr>
      <w:spacing w:before="120" w:after="120" w:line="240" w:lineRule="auto"/>
      <w:ind w:hanging="284"/>
      <w:jc w:val="center"/>
    </w:pPr>
    <w:rPr>
      <w:rFonts w:eastAsia="Times New Roman" w:cs="Arial"/>
      <w:sz w:val="20"/>
      <w:szCs w:val="20"/>
      <w:u w:val="single"/>
    </w:rPr>
  </w:style>
  <w:style w:type="paragraph" w:customStyle="1" w:styleId="Normal1">
    <w:name w:val="Normal+1"/>
    <w:basedOn w:val="Normal"/>
    <w:next w:val="Normal"/>
    <w:uiPriority w:val="99"/>
    <w:rsid w:val="001C7B35"/>
    <w:pPr>
      <w:autoSpaceDE w:val="0"/>
      <w:autoSpaceDN w:val="0"/>
      <w:adjustRightInd w:val="0"/>
      <w:spacing w:before="0" w:after="0" w:line="240" w:lineRule="auto"/>
      <w:jc w:val="left"/>
    </w:pPr>
    <w:rPr>
      <w:rFonts w:ascii="Times New Roman" w:eastAsia="Calibri" w:hAnsi="Times New Roman" w:cs="Times New Roman"/>
      <w:sz w:val="24"/>
      <w:szCs w:val="24"/>
    </w:rPr>
  </w:style>
  <w:style w:type="character" w:customStyle="1" w:styleId="apple-converted-space">
    <w:name w:val="apple-converted-space"/>
    <w:basedOn w:val="DefaultParagraphFont"/>
    <w:rsid w:val="001C7B35"/>
  </w:style>
  <w:style w:type="paragraph" w:customStyle="1" w:styleId="lg-section">
    <w:name w:val="lg-section"/>
    <w:basedOn w:val="Normal"/>
    <w:rsid w:val="009366F2"/>
    <w:pPr>
      <w:spacing w:before="100" w:beforeAutospacing="1" w:after="100" w:afterAutospacing="1" w:line="240" w:lineRule="auto"/>
      <w:jc w:val="left"/>
    </w:pPr>
    <w:rPr>
      <w:rFonts w:ascii="Times New Roman" w:eastAsia="Times New Roman" w:hAnsi="Times New Roman" w:cs="Times New Roman"/>
      <w:sz w:val="24"/>
      <w:szCs w:val="24"/>
      <w:lang w:eastAsia="en-ZA"/>
    </w:rPr>
  </w:style>
  <w:style w:type="paragraph" w:customStyle="1" w:styleId="lg-a-1">
    <w:name w:val="lg-a-1"/>
    <w:basedOn w:val="Normal"/>
    <w:rsid w:val="009366F2"/>
    <w:pPr>
      <w:spacing w:before="100" w:beforeAutospacing="1" w:after="100" w:afterAutospacing="1" w:line="240" w:lineRule="auto"/>
      <w:jc w:val="left"/>
    </w:pPr>
    <w:rPr>
      <w:rFonts w:ascii="Times New Roman" w:eastAsia="Times New Roman" w:hAnsi="Times New Roman" w:cs="Times New Roman"/>
      <w:sz w:val="24"/>
      <w:szCs w:val="24"/>
      <w:lang w:eastAsia="en-ZA"/>
    </w:rPr>
  </w:style>
  <w:style w:type="paragraph" w:customStyle="1" w:styleId="normal-text">
    <w:name w:val="normal-text"/>
    <w:basedOn w:val="Normal"/>
    <w:rsid w:val="009366F2"/>
    <w:pPr>
      <w:spacing w:before="100" w:beforeAutospacing="1" w:after="100" w:afterAutospacing="1" w:line="240" w:lineRule="auto"/>
      <w:jc w:val="left"/>
    </w:pPr>
    <w:rPr>
      <w:rFonts w:ascii="Times New Roman" w:eastAsia="Times New Roman" w:hAnsi="Times New Roman" w:cs="Times New Roman"/>
      <w:sz w:val="24"/>
      <w:szCs w:val="24"/>
      <w:lang w:eastAsia="en-ZA"/>
    </w:rPr>
  </w:style>
  <w:style w:type="character" w:styleId="Hyperlink">
    <w:name w:val="Hyperlink"/>
    <w:basedOn w:val="DefaultParagraphFont"/>
    <w:uiPriority w:val="99"/>
    <w:unhideWhenUsed/>
    <w:rsid w:val="009C75F7"/>
    <w:rPr>
      <w:color w:val="0000FF" w:themeColor="hyperlink"/>
      <w:u w:val="single"/>
    </w:rPr>
  </w:style>
  <w:style w:type="character" w:customStyle="1" w:styleId="NoSpacingChar">
    <w:name w:val="No Spacing Char"/>
    <w:aliases w:val="EMM Header Footer Char"/>
    <w:link w:val="NoSpacing"/>
    <w:uiPriority w:val="1"/>
    <w:rsid w:val="00B32FC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thics@madibeng.gov.z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E369D-91D2-4B96-B5E1-3F60BB37F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1120</Words>
  <Characters>6390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Tarien Prinsloo</dc:creator>
  <cp:lastModifiedBy>Yvonne Mothibi</cp:lastModifiedBy>
  <cp:revision>2</cp:revision>
  <dcterms:created xsi:type="dcterms:W3CDTF">2020-07-02T11:56:00Z</dcterms:created>
  <dcterms:modified xsi:type="dcterms:W3CDTF">2020-07-02T11:56:00Z</dcterms:modified>
</cp:coreProperties>
</file>